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Default Extension="gif" ContentType="image/gif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766" w:rsidRPr="00EE18A7" w:rsidRDefault="005B6766" w:rsidP="00DE3E28">
      <w:pPr>
        <w:ind w:firstLine="0"/>
        <w:rPr>
          <w:rFonts w:ascii="Broadway" w:hAnsi="Broadway" w:cs="Arial"/>
          <w:sz w:val="28"/>
          <w:szCs w:val="28"/>
        </w:rPr>
      </w:pPr>
      <w:r w:rsidRPr="00EE18A7">
        <w:rPr>
          <w:rFonts w:ascii="Broadway" w:hAnsi="Broadway" w:cs="Arial"/>
          <w:sz w:val="28"/>
          <w:szCs w:val="28"/>
        </w:rPr>
        <w:t xml:space="preserve">Taxa de creixement del </w:t>
      </w:r>
      <w:proofErr w:type="spellStart"/>
      <w:r w:rsidRPr="00EE18A7">
        <w:rPr>
          <w:rFonts w:ascii="Broadway" w:hAnsi="Broadway" w:cs="Arial"/>
          <w:sz w:val="28"/>
          <w:szCs w:val="28"/>
        </w:rPr>
        <w:t>pib</w:t>
      </w:r>
      <w:proofErr w:type="spellEnd"/>
      <w:r w:rsidRPr="00EE18A7">
        <w:rPr>
          <w:rFonts w:ascii="Broadway" w:hAnsi="Broadway" w:cs="Arial"/>
          <w:sz w:val="28"/>
          <w:szCs w:val="28"/>
        </w:rPr>
        <w:t xml:space="preserve"> real:</w:t>
      </w:r>
    </w:p>
    <w:tbl>
      <w:tblPr>
        <w:tblpPr w:leftFromText="141" w:rightFromText="141" w:vertAnchor="text" w:tblpY="1"/>
        <w:tblOverlap w:val="never"/>
        <w:tblW w:w="5000" w:type="pct"/>
        <w:tblCellSpacing w:w="3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92"/>
        <w:gridCol w:w="3264"/>
        <w:gridCol w:w="2717"/>
        <w:gridCol w:w="1185"/>
      </w:tblGrid>
      <w:tr w:rsidR="005B6766" w:rsidRPr="00EE18A7" w:rsidTr="00DC5FBA">
        <w:trPr>
          <w:gridAfter w:val="1"/>
          <w:wAfter w:w="467" w:type="pct"/>
          <w:tblCellSpacing w:w="30" w:type="dxa"/>
        </w:trPr>
        <w:tc>
          <w:tcPr>
            <w:tcW w:w="1304" w:type="pct"/>
            <w:shd w:val="clear" w:color="auto" w:fill="FFFFFF"/>
            <w:noWrap/>
            <w:vAlign w:val="bottom"/>
            <w:hideMark/>
          </w:tcPr>
          <w:p w:rsidR="005B6766" w:rsidRPr="00EE18A7" w:rsidRDefault="005B6766" w:rsidP="00DC5FBA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 w:bidi="ar-SA"/>
              </w:rPr>
              <w:t>2009</w:t>
            </w:r>
          </w:p>
        </w:tc>
        <w:tc>
          <w:tcPr>
            <w:tcW w:w="1670" w:type="pct"/>
            <w:shd w:val="clear" w:color="auto" w:fill="FFFFFF"/>
            <w:noWrap/>
            <w:vAlign w:val="bottom"/>
            <w:hideMark/>
          </w:tcPr>
          <w:p w:rsidR="005B6766" w:rsidRPr="00EE18A7" w:rsidRDefault="005B6766" w:rsidP="00DC5FBA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 w:bidi="ar-SA"/>
              </w:rPr>
              <w:t>2010</w:t>
            </w:r>
          </w:p>
        </w:tc>
        <w:tc>
          <w:tcPr>
            <w:tcW w:w="1385" w:type="pct"/>
            <w:shd w:val="clear" w:color="auto" w:fill="FFFFFF"/>
            <w:noWrap/>
            <w:vAlign w:val="bottom"/>
            <w:hideMark/>
          </w:tcPr>
          <w:p w:rsidR="005B6766" w:rsidRPr="00EE18A7" w:rsidRDefault="005B6766" w:rsidP="00DC5FBA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 w:bidi="ar-SA"/>
              </w:rPr>
              <w:t>2011</w:t>
            </w:r>
          </w:p>
        </w:tc>
      </w:tr>
      <w:tr w:rsidR="005B6766" w:rsidRPr="00EE18A7" w:rsidTr="00DC5FBA">
        <w:trPr>
          <w:tblCellSpacing w:w="30" w:type="dxa"/>
        </w:trPr>
        <w:tc>
          <w:tcPr>
            <w:tcW w:w="4930" w:type="pct"/>
            <w:gridSpan w:val="4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38"/>
            </w:tblGrid>
            <w:tr w:rsidR="005B6766" w:rsidRPr="00EE18A7" w:rsidTr="00DC5FBA">
              <w:trPr>
                <w:tblCellSpacing w:w="0" w:type="dxa"/>
              </w:trPr>
              <w:tc>
                <w:tcPr>
                  <w:tcW w:w="8504" w:type="dxa"/>
                  <w:vAlign w:val="center"/>
                  <w:hideMark/>
                </w:tcPr>
                <w:p w:rsidR="005B6766" w:rsidRPr="00EE18A7" w:rsidRDefault="005B6766" w:rsidP="00DC5FBA">
                  <w:pPr>
                    <w:framePr w:hSpace="141" w:wrap="around" w:vAnchor="text" w:hAnchor="text" w:y="1"/>
                    <w:spacing w:after="0" w:line="240" w:lineRule="auto"/>
                    <w:ind w:firstLine="0"/>
                    <w:suppressOverlap/>
                    <w:jc w:val="both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</w:p>
              </w:tc>
            </w:tr>
            <w:tr w:rsidR="005B6766" w:rsidRPr="00EE18A7" w:rsidTr="00DC5FBA">
              <w:trPr>
                <w:tblCellSpacing w:w="0" w:type="dxa"/>
              </w:trPr>
              <w:tc>
                <w:tcPr>
                  <w:tcW w:w="8504" w:type="dxa"/>
                  <w:vAlign w:val="center"/>
                  <w:hideMark/>
                </w:tcPr>
                <w:p w:rsidR="005B6766" w:rsidRPr="00EE18A7" w:rsidRDefault="005B6766" w:rsidP="00DC5FBA">
                  <w:pPr>
                    <w:framePr w:hSpace="141" w:wrap="around" w:vAnchor="text" w:hAnchor="text" w:y="1"/>
                    <w:spacing w:after="0" w:line="240" w:lineRule="auto"/>
                    <w:ind w:firstLine="0"/>
                    <w:suppressOverlap/>
                    <w:jc w:val="both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drawing>
                      <wp:inline distT="0" distB="0" distL="0" distR="0">
                        <wp:extent cx="7620000" cy="9525"/>
                        <wp:effectExtent l="19050" t="0" r="0" b="0"/>
                        <wp:docPr id="2" name="Imagen 2" descr="http://www.idescat.cat/images/pix_blau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idescat.cat/images/pix_blau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B6766" w:rsidRPr="00EE18A7" w:rsidTr="00DC5FBA">
              <w:trPr>
                <w:tblCellSpacing w:w="0" w:type="dxa"/>
              </w:trPr>
              <w:tc>
                <w:tcPr>
                  <w:tcW w:w="8504" w:type="dxa"/>
                  <w:vAlign w:val="center"/>
                  <w:hideMark/>
                </w:tcPr>
                <w:p w:rsidR="005B6766" w:rsidRPr="00EE18A7" w:rsidRDefault="005B6766" w:rsidP="00DC5FBA">
                  <w:pPr>
                    <w:framePr w:hSpace="141" w:wrap="around" w:vAnchor="text" w:hAnchor="text" w:y="1"/>
                    <w:spacing w:after="0" w:line="240" w:lineRule="auto"/>
                    <w:ind w:firstLine="0"/>
                    <w:suppressOverlap/>
                    <w:jc w:val="both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3" name="Imagen 3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B6766" w:rsidRPr="00EE18A7" w:rsidRDefault="00DC5FBA" w:rsidP="00DC5FBA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drawing>
                <wp:inline distT="0" distB="0" distL="0" distR="0">
                  <wp:extent cx="7620000" cy="38100"/>
                  <wp:effectExtent l="0" t="0" r="0" b="0"/>
                  <wp:docPr id="5" name="Imagen 1" descr="http://www.idescat.cat/images/pix_trans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descat.cat/images/pix_trans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0" cy="3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6766" w:rsidRPr="00EE18A7" w:rsidTr="00DC5FBA">
        <w:trPr>
          <w:tblCellSpacing w:w="30" w:type="dxa"/>
        </w:trPr>
        <w:tc>
          <w:tcPr>
            <w:tcW w:w="1304" w:type="pct"/>
            <w:shd w:val="clear" w:color="auto" w:fill="FFFFFF"/>
            <w:noWrap/>
            <w:vAlign w:val="center"/>
            <w:hideMark/>
          </w:tcPr>
          <w:p w:rsidR="005B6766" w:rsidRPr="00EE18A7" w:rsidRDefault="005B6766" w:rsidP="00DC5FBA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 w:bidi="ar-SA"/>
              </w:rPr>
              <w:t>Catalunya</w:t>
            </w:r>
          </w:p>
        </w:tc>
        <w:tc>
          <w:tcPr>
            <w:tcW w:w="1670" w:type="pct"/>
            <w:shd w:val="clear" w:color="auto" w:fill="FFFFFF"/>
            <w:noWrap/>
            <w:vAlign w:val="center"/>
            <w:hideMark/>
          </w:tcPr>
          <w:p w:rsidR="005B6766" w:rsidRPr="00EE18A7" w:rsidRDefault="005B6766" w:rsidP="00DC5FBA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 -4,0</w:t>
            </w:r>
          </w:p>
        </w:tc>
        <w:tc>
          <w:tcPr>
            <w:tcW w:w="1385" w:type="pct"/>
            <w:shd w:val="clear" w:color="auto" w:fill="FFFFFF"/>
            <w:noWrap/>
            <w:vAlign w:val="center"/>
            <w:hideMark/>
          </w:tcPr>
          <w:p w:rsidR="005B6766" w:rsidRPr="00EE18A7" w:rsidRDefault="005B6766" w:rsidP="00DC5FBA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0,4</w:t>
            </w:r>
          </w:p>
        </w:tc>
        <w:tc>
          <w:tcPr>
            <w:tcW w:w="467" w:type="pct"/>
            <w:shd w:val="clear" w:color="auto" w:fill="FFFFFF"/>
            <w:noWrap/>
            <w:vAlign w:val="center"/>
            <w:hideMark/>
          </w:tcPr>
          <w:p w:rsidR="005B6766" w:rsidRPr="00EE18A7" w:rsidRDefault="005B6766" w:rsidP="00DC5FBA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0,7</w:t>
            </w:r>
          </w:p>
        </w:tc>
      </w:tr>
      <w:tr w:rsidR="005B6766" w:rsidRPr="00EE18A7" w:rsidTr="00DC5FBA">
        <w:trPr>
          <w:tblCellSpacing w:w="30" w:type="dxa"/>
        </w:trPr>
        <w:tc>
          <w:tcPr>
            <w:tcW w:w="1304" w:type="pct"/>
            <w:shd w:val="clear" w:color="auto" w:fill="FFFFFF"/>
            <w:noWrap/>
            <w:vAlign w:val="center"/>
            <w:hideMark/>
          </w:tcPr>
          <w:p w:rsidR="005B6766" w:rsidRPr="00EE18A7" w:rsidRDefault="005B6766" w:rsidP="00DC5FBA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b/>
                <w:color w:val="1F497D" w:themeColor="text2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1F497D" w:themeColor="text2"/>
                <w:sz w:val="24"/>
                <w:szCs w:val="24"/>
                <w:lang w:eastAsia="es-ES" w:bidi="ar-SA"/>
              </w:rPr>
              <w:t>Espanya</w:t>
            </w:r>
          </w:p>
        </w:tc>
        <w:tc>
          <w:tcPr>
            <w:tcW w:w="1670" w:type="pct"/>
            <w:shd w:val="clear" w:color="auto" w:fill="FFFFFF"/>
            <w:noWrap/>
            <w:vAlign w:val="center"/>
            <w:hideMark/>
          </w:tcPr>
          <w:p w:rsidR="005B6766" w:rsidRPr="00EE18A7" w:rsidRDefault="00DE3E28" w:rsidP="00DC5FBA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  </w:t>
            </w:r>
            <w:r w:rsidR="005B6766"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-3,7</w:t>
            </w:r>
          </w:p>
        </w:tc>
        <w:tc>
          <w:tcPr>
            <w:tcW w:w="1385" w:type="pct"/>
            <w:shd w:val="clear" w:color="auto" w:fill="FFFFFF"/>
            <w:noWrap/>
            <w:vAlign w:val="center"/>
            <w:hideMark/>
          </w:tcPr>
          <w:p w:rsidR="005B6766" w:rsidRPr="00EE18A7" w:rsidRDefault="005B6766" w:rsidP="00DC5FBA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-0,1</w:t>
            </w:r>
          </w:p>
        </w:tc>
        <w:tc>
          <w:tcPr>
            <w:tcW w:w="467" w:type="pct"/>
            <w:shd w:val="clear" w:color="auto" w:fill="FFFFFF"/>
            <w:noWrap/>
            <w:vAlign w:val="center"/>
            <w:hideMark/>
          </w:tcPr>
          <w:p w:rsidR="005B6766" w:rsidRPr="00EE18A7" w:rsidRDefault="005B6766" w:rsidP="00DC5FBA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0,7</w:t>
            </w:r>
          </w:p>
        </w:tc>
      </w:tr>
      <w:tr w:rsidR="005B6766" w:rsidRPr="00EE18A7" w:rsidTr="00DC5FBA">
        <w:trPr>
          <w:tblCellSpacing w:w="30" w:type="dxa"/>
        </w:trPr>
        <w:tc>
          <w:tcPr>
            <w:tcW w:w="1304" w:type="pct"/>
            <w:shd w:val="clear" w:color="auto" w:fill="FFFFFF"/>
            <w:noWrap/>
            <w:vAlign w:val="center"/>
            <w:hideMark/>
          </w:tcPr>
          <w:p w:rsidR="005B6766" w:rsidRPr="00EE18A7" w:rsidRDefault="005B6766" w:rsidP="00DC5FBA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b/>
                <w:color w:val="B2A1C7" w:themeColor="accent4" w:themeTint="99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B2A1C7" w:themeColor="accent4" w:themeTint="99"/>
                <w:sz w:val="24"/>
                <w:szCs w:val="24"/>
                <w:lang w:eastAsia="es-ES" w:bidi="ar-SA"/>
              </w:rPr>
              <w:t>Zona euro</w:t>
            </w:r>
          </w:p>
        </w:tc>
        <w:tc>
          <w:tcPr>
            <w:tcW w:w="1670" w:type="pct"/>
            <w:shd w:val="clear" w:color="auto" w:fill="FFFFFF"/>
            <w:noWrap/>
            <w:vAlign w:val="center"/>
            <w:hideMark/>
          </w:tcPr>
          <w:p w:rsidR="005B6766" w:rsidRPr="00EE18A7" w:rsidRDefault="00DE3E28" w:rsidP="00DC5FBA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 </w:t>
            </w:r>
            <w:r w:rsidR="005B6766"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 -4,3</w:t>
            </w:r>
          </w:p>
        </w:tc>
        <w:tc>
          <w:tcPr>
            <w:tcW w:w="1385" w:type="pct"/>
            <w:shd w:val="clear" w:color="auto" w:fill="FFFFFF"/>
            <w:noWrap/>
            <w:vAlign w:val="center"/>
            <w:hideMark/>
          </w:tcPr>
          <w:p w:rsidR="005B6766" w:rsidRPr="00EE18A7" w:rsidRDefault="005B6766" w:rsidP="00DC5FBA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1,9</w:t>
            </w:r>
          </w:p>
        </w:tc>
        <w:tc>
          <w:tcPr>
            <w:tcW w:w="467" w:type="pct"/>
            <w:shd w:val="clear" w:color="auto" w:fill="FFFFFF"/>
            <w:noWrap/>
            <w:vAlign w:val="center"/>
            <w:hideMark/>
          </w:tcPr>
          <w:p w:rsidR="005B6766" w:rsidRPr="00EE18A7" w:rsidRDefault="005B6766" w:rsidP="00DC5FBA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1,4</w:t>
            </w:r>
          </w:p>
        </w:tc>
      </w:tr>
      <w:tr w:rsidR="005B6766" w:rsidRPr="00EE18A7" w:rsidTr="00DC5FBA">
        <w:trPr>
          <w:tblCellSpacing w:w="30" w:type="dxa"/>
        </w:trPr>
        <w:tc>
          <w:tcPr>
            <w:tcW w:w="1304" w:type="pct"/>
            <w:shd w:val="clear" w:color="auto" w:fill="FFFFFF"/>
            <w:noWrap/>
            <w:vAlign w:val="center"/>
            <w:hideMark/>
          </w:tcPr>
          <w:p w:rsidR="005B6766" w:rsidRPr="00EE18A7" w:rsidRDefault="005B6766" w:rsidP="00DC5FBA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b/>
                <w:color w:val="E36C0A" w:themeColor="accent6" w:themeShade="BF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E36C0A" w:themeColor="accent6" w:themeShade="BF"/>
                <w:sz w:val="24"/>
                <w:szCs w:val="24"/>
                <w:lang w:eastAsia="es-ES" w:bidi="ar-SA"/>
              </w:rPr>
              <w:t>Unió Europea</w:t>
            </w:r>
          </w:p>
        </w:tc>
        <w:tc>
          <w:tcPr>
            <w:tcW w:w="1670" w:type="pct"/>
            <w:shd w:val="clear" w:color="auto" w:fill="FFFFFF"/>
            <w:noWrap/>
            <w:vAlign w:val="center"/>
            <w:hideMark/>
          </w:tcPr>
          <w:p w:rsidR="005B6766" w:rsidRPr="00EE18A7" w:rsidRDefault="005B6766" w:rsidP="00DC5FBA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  -4,3</w:t>
            </w:r>
          </w:p>
        </w:tc>
        <w:tc>
          <w:tcPr>
            <w:tcW w:w="1385" w:type="pct"/>
            <w:shd w:val="clear" w:color="auto" w:fill="FFFFFF"/>
            <w:noWrap/>
            <w:vAlign w:val="center"/>
            <w:hideMark/>
          </w:tcPr>
          <w:p w:rsidR="005B6766" w:rsidRPr="00EE18A7" w:rsidRDefault="005B6766" w:rsidP="00DC5FBA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2,0</w:t>
            </w:r>
          </w:p>
        </w:tc>
        <w:tc>
          <w:tcPr>
            <w:tcW w:w="467" w:type="pct"/>
            <w:shd w:val="clear" w:color="auto" w:fill="FFFFFF"/>
            <w:noWrap/>
            <w:vAlign w:val="center"/>
            <w:hideMark/>
          </w:tcPr>
          <w:p w:rsidR="005B6766" w:rsidRPr="00EE18A7" w:rsidRDefault="005B6766" w:rsidP="00DC5FBA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1,5</w:t>
            </w:r>
          </w:p>
        </w:tc>
      </w:tr>
    </w:tbl>
    <w:p w:rsidR="00DC5FBA" w:rsidRPr="00EE18A7" w:rsidRDefault="00DC5FBA" w:rsidP="00DE3E28">
      <w:pPr>
        <w:spacing w:line="276" w:lineRule="auto"/>
        <w:ind w:firstLine="0"/>
        <w:rPr>
          <w:rFonts w:ascii="Arial" w:hAnsi="Arial" w:cs="Arial"/>
          <w:sz w:val="24"/>
          <w:szCs w:val="24"/>
        </w:rPr>
      </w:pPr>
    </w:p>
    <w:p w:rsidR="008A3DE2" w:rsidRPr="00EE18A7" w:rsidRDefault="008A3DE2" w:rsidP="00DE3E28">
      <w:pPr>
        <w:spacing w:line="276" w:lineRule="auto"/>
        <w:ind w:firstLine="0"/>
        <w:rPr>
          <w:rFonts w:ascii="Arial" w:hAnsi="Arial" w:cs="Arial"/>
          <w:sz w:val="24"/>
          <w:szCs w:val="24"/>
        </w:rPr>
      </w:pPr>
      <w:r w:rsidRPr="00EE18A7">
        <w:rPr>
          <w:rFonts w:ascii="Arial" w:hAnsi="Arial" w:cs="Arial"/>
          <w:sz w:val="24"/>
          <w:szCs w:val="24"/>
          <w:lang w:eastAsia="es-ES" w:bidi="ar-SA"/>
        </w:rPr>
        <w:drawing>
          <wp:inline distT="0" distB="0" distL="0" distR="0">
            <wp:extent cx="4572000" cy="2743200"/>
            <wp:effectExtent l="19050" t="0" r="19050" b="0"/>
            <wp:docPr id="76" name="Gráfico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DC5FBA" w:rsidRPr="00EE18A7" w:rsidRDefault="00DE3E28" w:rsidP="00DE3E28">
      <w:pPr>
        <w:spacing w:line="276" w:lineRule="auto"/>
        <w:ind w:firstLine="0"/>
        <w:rPr>
          <w:rFonts w:ascii="Arial" w:hAnsi="Arial" w:cs="Arial"/>
          <w:sz w:val="24"/>
          <w:szCs w:val="24"/>
        </w:rPr>
      </w:pPr>
      <w:r w:rsidRPr="00EE18A7">
        <w:rPr>
          <w:rFonts w:ascii="Arial" w:hAnsi="Arial" w:cs="Arial"/>
          <w:sz w:val="24"/>
          <w:szCs w:val="24"/>
        </w:rPr>
        <w:t xml:space="preserve">Podem observar que la taxa de creixement del PIB real a </w:t>
      </w:r>
      <w:r w:rsidRPr="00EE18A7">
        <w:rPr>
          <w:rFonts w:ascii="Arial" w:hAnsi="Arial" w:cs="Arial"/>
          <w:color w:val="FF0000"/>
          <w:sz w:val="24"/>
          <w:szCs w:val="24"/>
        </w:rPr>
        <w:t xml:space="preserve">Catalunya </w:t>
      </w:r>
      <w:r w:rsidRPr="00EE18A7">
        <w:rPr>
          <w:rFonts w:ascii="Arial" w:hAnsi="Arial" w:cs="Arial"/>
          <w:sz w:val="24"/>
          <w:szCs w:val="24"/>
        </w:rPr>
        <w:t xml:space="preserve">durant els últims anys ha anat ascendent al igual que </w:t>
      </w:r>
      <w:r w:rsidRPr="00EE18A7">
        <w:rPr>
          <w:rFonts w:ascii="Arial" w:hAnsi="Arial" w:cs="Arial"/>
          <w:color w:val="1F497D" w:themeColor="text2"/>
          <w:sz w:val="24"/>
          <w:szCs w:val="24"/>
        </w:rPr>
        <w:t>Espanya</w:t>
      </w:r>
      <w:r w:rsidRPr="00EE18A7">
        <w:rPr>
          <w:rFonts w:ascii="Arial" w:hAnsi="Arial" w:cs="Arial"/>
          <w:sz w:val="24"/>
          <w:szCs w:val="24"/>
        </w:rPr>
        <w:t xml:space="preserve">. La </w:t>
      </w:r>
      <w:r w:rsidRPr="00EE18A7">
        <w:rPr>
          <w:rFonts w:ascii="Arial" w:hAnsi="Arial" w:cs="Arial"/>
          <w:color w:val="8064A2" w:themeColor="accent4"/>
          <w:sz w:val="24"/>
          <w:szCs w:val="24"/>
        </w:rPr>
        <w:t>Zona euro</w:t>
      </w:r>
      <w:r w:rsidRPr="00EE18A7">
        <w:rPr>
          <w:rFonts w:ascii="Arial" w:hAnsi="Arial" w:cs="Arial"/>
          <w:sz w:val="24"/>
          <w:szCs w:val="24"/>
        </w:rPr>
        <w:t xml:space="preserve"> els anteriors anys (2009 i 2010) va anar ascendent progressivament, en canvi l’any passat va baixar com en el cas de la </w:t>
      </w:r>
      <w:r w:rsidRPr="00EE18A7">
        <w:rPr>
          <w:rFonts w:ascii="Arial" w:hAnsi="Arial" w:cs="Arial"/>
          <w:color w:val="F79646" w:themeColor="accent6"/>
          <w:sz w:val="24"/>
          <w:szCs w:val="24"/>
        </w:rPr>
        <w:t>Unió Europea</w:t>
      </w:r>
      <w:r w:rsidRPr="00EE18A7">
        <w:rPr>
          <w:rFonts w:ascii="Arial" w:hAnsi="Arial" w:cs="Arial"/>
          <w:sz w:val="24"/>
          <w:szCs w:val="24"/>
        </w:rPr>
        <w:t xml:space="preserve">. </w:t>
      </w:r>
    </w:p>
    <w:p w:rsidR="00B945C6" w:rsidRPr="00EE18A7" w:rsidRDefault="00B945C6" w:rsidP="00DE3E28">
      <w:pPr>
        <w:spacing w:line="276" w:lineRule="auto"/>
        <w:ind w:firstLine="0"/>
        <w:rPr>
          <w:rFonts w:ascii="Arial" w:hAnsi="Arial" w:cs="Arial"/>
          <w:sz w:val="24"/>
          <w:szCs w:val="24"/>
        </w:rPr>
      </w:pPr>
    </w:p>
    <w:p w:rsidR="005B6766" w:rsidRPr="00EE18A7" w:rsidRDefault="005B6766" w:rsidP="005B6766">
      <w:pPr>
        <w:ind w:firstLine="0"/>
        <w:rPr>
          <w:rFonts w:ascii="Broadway" w:hAnsi="Broadway"/>
          <w:b/>
          <w:sz w:val="28"/>
          <w:szCs w:val="28"/>
        </w:rPr>
      </w:pPr>
      <w:r w:rsidRPr="00EE18A7">
        <w:rPr>
          <w:rFonts w:ascii="Broadway" w:hAnsi="Broadway"/>
          <w:b/>
          <w:sz w:val="28"/>
          <w:szCs w:val="28"/>
        </w:rPr>
        <w:t>Creixement de població ocupada</w:t>
      </w:r>
    </w:p>
    <w:tbl>
      <w:tblPr>
        <w:tblW w:w="5000" w:type="pct"/>
        <w:tblCellSpacing w:w="3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012"/>
        <w:gridCol w:w="2620"/>
        <w:gridCol w:w="2057"/>
        <w:gridCol w:w="1069"/>
      </w:tblGrid>
      <w:tr w:rsidR="005B6766" w:rsidRPr="00EE18A7" w:rsidTr="005B6766">
        <w:trPr>
          <w:gridAfter w:val="1"/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5B6766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s-ES" w:bidi="ar-SA"/>
              </w:rPr>
              <w:br/>
              <w:t>         Homes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DC5FBA" w:rsidRPr="00EE18A7" w:rsidRDefault="005B6766" w:rsidP="005B6766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s-ES" w:bidi="ar-SA"/>
              </w:rPr>
              <w:t>        </w:t>
            </w:r>
          </w:p>
          <w:p w:rsidR="005B6766" w:rsidRPr="00EE18A7" w:rsidRDefault="00DC5FBA" w:rsidP="005B6766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s-ES" w:bidi="ar-SA"/>
              </w:rPr>
              <w:t xml:space="preserve">  </w:t>
            </w:r>
            <w:r w:rsidR="005B6766"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s-ES" w:bidi="ar-SA"/>
              </w:rPr>
              <w:t xml:space="preserve"> Dones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DC5FBA" w:rsidRPr="00EE18A7" w:rsidRDefault="005B6766" w:rsidP="005B6766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s-ES" w:bidi="ar-SA"/>
              </w:rPr>
              <w:t>       </w:t>
            </w:r>
          </w:p>
          <w:p w:rsidR="005B6766" w:rsidRPr="00EE18A7" w:rsidRDefault="005B6766" w:rsidP="005B6766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s-ES" w:bidi="ar-SA"/>
              </w:rPr>
              <w:t>  Total</w:t>
            </w:r>
          </w:p>
        </w:tc>
      </w:tr>
      <w:tr w:rsidR="005B6766" w:rsidRPr="00EE18A7" w:rsidTr="005B6766">
        <w:trPr>
          <w:tblCellSpacing w:w="30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38"/>
            </w:tblGrid>
            <w:tr w:rsidR="005B6766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B6766" w:rsidRPr="00EE18A7" w:rsidRDefault="005B6766" w:rsidP="005B6766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7" name="Imagen 7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B6766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B6766" w:rsidRPr="00EE18A7" w:rsidRDefault="005B6766" w:rsidP="005B6766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lang w:eastAsia="es-ES" w:bidi="ar-SA"/>
                    </w:rPr>
                    <w:drawing>
                      <wp:inline distT="0" distB="0" distL="0" distR="0">
                        <wp:extent cx="7620000" cy="9525"/>
                        <wp:effectExtent l="19050" t="0" r="0" b="0"/>
                        <wp:docPr id="8" name="Imagen 8" descr="http://www.idescat.cat/images/pix_blau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idescat.cat/images/pix_blau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B6766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B6766" w:rsidRPr="00EE18A7" w:rsidRDefault="005B6766" w:rsidP="005B6766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9" name="Imagen 9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B6766" w:rsidRPr="00EE18A7" w:rsidRDefault="005B6766" w:rsidP="005B6766">
            <w:pPr>
              <w:spacing w:after="0" w:line="240" w:lineRule="auto"/>
              <w:ind w:firstLine="0"/>
              <w:rPr>
                <w:rFonts w:ascii="Verdana" w:eastAsia="Times New Roman" w:hAnsi="Verdana" w:cs="Times New Roman"/>
                <w:color w:val="000000"/>
                <w:lang w:eastAsia="es-ES" w:bidi="ar-SA"/>
              </w:rPr>
            </w:pPr>
          </w:p>
        </w:tc>
      </w:tr>
      <w:tr w:rsidR="005B6766" w:rsidRPr="00EE18A7" w:rsidTr="005B6766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 w:bidi="ar-SA"/>
              </w:rPr>
              <w:t>Catalunya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   -3,5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   -1,2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-2,5</w:t>
            </w:r>
          </w:p>
        </w:tc>
      </w:tr>
      <w:tr w:rsidR="005B6766" w:rsidRPr="00EE18A7" w:rsidTr="005B6766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b/>
                <w:color w:val="1F497D" w:themeColor="text2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1F497D" w:themeColor="text2"/>
                <w:sz w:val="24"/>
                <w:szCs w:val="24"/>
                <w:lang w:eastAsia="es-ES" w:bidi="ar-SA"/>
              </w:rPr>
              <w:t>Espanya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   -3,7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   -1,2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-2,6</w:t>
            </w:r>
          </w:p>
        </w:tc>
      </w:tr>
      <w:tr w:rsidR="005B6766" w:rsidRPr="00EE18A7" w:rsidTr="005B6766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b/>
                <w:color w:val="B2A1C7" w:themeColor="accent4" w:themeTint="99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B2A1C7" w:themeColor="accent4" w:themeTint="99"/>
                <w:sz w:val="24"/>
                <w:szCs w:val="24"/>
                <w:lang w:eastAsia="es-ES" w:bidi="ar-SA"/>
              </w:rPr>
              <w:t>Zona euro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   -0,9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   0,0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-0,5</w:t>
            </w:r>
          </w:p>
        </w:tc>
      </w:tr>
      <w:tr w:rsidR="005B6766" w:rsidRPr="00EE18A7" w:rsidTr="005B6766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b/>
                <w:color w:val="E36C0A" w:themeColor="accent6" w:themeShade="BF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E36C0A" w:themeColor="accent6" w:themeShade="BF"/>
                <w:sz w:val="24"/>
                <w:szCs w:val="24"/>
                <w:lang w:eastAsia="es-ES" w:bidi="ar-SA"/>
              </w:rPr>
              <w:t>Unió Europea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   -0,8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   -0,2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-0,5</w:t>
            </w:r>
          </w:p>
        </w:tc>
      </w:tr>
    </w:tbl>
    <w:p w:rsidR="00DC5FBA" w:rsidRPr="00EE18A7" w:rsidRDefault="00DC5FBA" w:rsidP="00DC5FBA">
      <w:pPr>
        <w:spacing w:line="276" w:lineRule="auto"/>
        <w:ind w:firstLine="0"/>
        <w:rPr>
          <w:b/>
        </w:rPr>
      </w:pPr>
    </w:p>
    <w:p w:rsidR="00D75335" w:rsidRPr="00EE18A7" w:rsidRDefault="00D75335" w:rsidP="00DC5FBA">
      <w:pPr>
        <w:spacing w:line="276" w:lineRule="auto"/>
        <w:ind w:firstLine="0"/>
        <w:rPr>
          <w:rFonts w:ascii="Arial" w:hAnsi="Arial" w:cs="Arial"/>
          <w:sz w:val="24"/>
          <w:szCs w:val="24"/>
        </w:rPr>
      </w:pPr>
    </w:p>
    <w:p w:rsidR="00D75335" w:rsidRPr="00EE18A7" w:rsidRDefault="00D75335" w:rsidP="00DC5FBA">
      <w:pPr>
        <w:spacing w:line="276" w:lineRule="auto"/>
        <w:ind w:firstLine="0"/>
        <w:rPr>
          <w:rFonts w:ascii="Arial" w:hAnsi="Arial" w:cs="Arial"/>
          <w:sz w:val="24"/>
          <w:szCs w:val="24"/>
        </w:rPr>
      </w:pPr>
      <w:r w:rsidRPr="00EE18A7">
        <w:rPr>
          <w:rFonts w:ascii="Arial" w:hAnsi="Arial" w:cs="Arial"/>
          <w:sz w:val="24"/>
          <w:szCs w:val="24"/>
          <w:lang w:eastAsia="es-ES" w:bidi="ar-SA"/>
        </w:rPr>
        <w:lastRenderedPageBreak/>
        <w:drawing>
          <wp:inline distT="0" distB="0" distL="0" distR="0">
            <wp:extent cx="4572000" cy="2743200"/>
            <wp:effectExtent l="19050" t="0" r="19050" b="0"/>
            <wp:docPr id="77" name="Gráfico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C5FBA" w:rsidRPr="00EE18A7" w:rsidRDefault="00DC5FBA" w:rsidP="00DC5FBA">
      <w:pPr>
        <w:spacing w:line="276" w:lineRule="auto"/>
        <w:ind w:firstLine="0"/>
        <w:rPr>
          <w:rFonts w:ascii="Arial" w:hAnsi="Arial" w:cs="Arial"/>
          <w:sz w:val="24"/>
          <w:szCs w:val="24"/>
        </w:rPr>
      </w:pPr>
      <w:r w:rsidRPr="00EE18A7">
        <w:rPr>
          <w:rFonts w:ascii="Arial" w:hAnsi="Arial" w:cs="Arial"/>
          <w:sz w:val="24"/>
          <w:szCs w:val="24"/>
        </w:rPr>
        <w:t>Podem observar que el creixement de la població ocupada ha descendit  en els homes molt més que en les dones, sobretot a Catalunya i a Espanya.</w:t>
      </w:r>
    </w:p>
    <w:p w:rsidR="005B6766" w:rsidRPr="00EE18A7" w:rsidRDefault="005B6766" w:rsidP="005B6766">
      <w:pPr>
        <w:ind w:firstLine="0"/>
        <w:rPr>
          <w:rFonts w:ascii="Broadway" w:hAnsi="Broadway"/>
          <w:b/>
          <w:sz w:val="28"/>
          <w:szCs w:val="28"/>
        </w:rPr>
      </w:pPr>
      <w:r w:rsidRPr="00EE18A7">
        <w:rPr>
          <w:rFonts w:ascii="Broadway" w:hAnsi="Broadway"/>
          <w:b/>
          <w:sz w:val="28"/>
          <w:szCs w:val="28"/>
        </w:rPr>
        <w:t>Creixement del cost laboral unitari</w:t>
      </w:r>
    </w:p>
    <w:tbl>
      <w:tblPr>
        <w:tblW w:w="5000" w:type="pct"/>
        <w:tblCellSpacing w:w="3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166"/>
        <w:gridCol w:w="2922"/>
        <w:gridCol w:w="2922"/>
        <w:gridCol w:w="748"/>
      </w:tblGrid>
      <w:tr w:rsidR="005B6766" w:rsidRPr="00EE18A7" w:rsidTr="005B6766">
        <w:trPr>
          <w:gridAfter w:val="1"/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5B6766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lang w:eastAsia="es-ES" w:bidi="ar-SA"/>
              </w:rPr>
              <w:t>           2007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5B6766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lang w:eastAsia="es-ES" w:bidi="ar-SA"/>
              </w:rPr>
              <w:t>           2008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5B6766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lang w:eastAsia="es-ES" w:bidi="ar-SA"/>
              </w:rPr>
              <w:t>           2009</w:t>
            </w:r>
          </w:p>
        </w:tc>
      </w:tr>
      <w:tr w:rsidR="005B6766" w:rsidRPr="00EE18A7" w:rsidTr="005B6766">
        <w:trPr>
          <w:tblCellSpacing w:w="30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38"/>
            </w:tblGrid>
            <w:tr w:rsidR="005B6766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B6766" w:rsidRPr="00EE18A7" w:rsidRDefault="005B6766" w:rsidP="005B6766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13" name="Imagen 13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B6766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B6766" w:rsidRPr="00EE18A7" w:rsidRDefault="005B6766" w:rsidP="005B6766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lang w:eastAsia="es-ES" w:bidi="ar-SA"/>
                    </w:rPr>
                    <w:drawing>
                      <wp:inline distT="0" distB="0" distL="0" distR="0">
                        <wp:extent cx="7620000" cy="9525"/>
                        <wp:effectExtent l="19050" t="0" r="0" b="0"/>
                        <wp:docPr id="14" name="Imagen 14" descr="http://www.idescat.cat/images/pix_blau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://www.idescat.cat/images/pix_blau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B6766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B6766" w:rsidRPr="00EE18A7" w:rsidRDefault="005B6766" w:rsidP="005B6766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15" name="Imagen 15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B6766" w:rsidRPr="00EE18A7" w:rsidRDefault="005B6766" w:rsidP="005B6766">
            <w:pPr>
              <w:spacing w:after="0" w:line="240" w:lineRule="auto"/>
              <w:ind w:firstLine="0"/>
              <w:rPr>
                <w:rFonts w:ascii="Verdana" w:eastAsia="Times New Roman" w:hAnsi="Verdana" w:cs="Times New Roman"/>
                <w:color w:val="000000"/>
                <w:lang w:eastAsia="es-ES" w:bidi="ar-SA"/>
              </w:rPr>
            </w:pPr>
          </w:p>
        </w:tc>
      </w:tr>
      <w:tr w:rsidR="005B6766" w:rsidRPr="00EE18A7" w:rsidTr="005B6766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 w:bidi="ar-SA"/>
              </w:rPr>
              <w:t>Catalunya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   0,9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   2,1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1,1</w:t>
            </w:r>
          </w:p>
        </w:tc>
      </w:tr>
      <w:tr w:rsidR="005B6766" w:rsidRPr="00EE18A7" w:rsidTr="005B6766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b/>
                <w:color w:val="1F497D" w:themeColor="text2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1F497D" w:themeColor="text2"/>
                <w:sz w:val="24"/>
                <w:szCs w:val="24"/>
                <w:lang w:eastAsia="es-ES" w:bidi="ar-SA"/>
              </w:rPr>
              <w:t>Espanya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   0,8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   2,4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1,2</w:t>
            </w:r>
          </w:p>
        </w:tc>
      </w:tr>
      <w:tr w:rsidR="005B6766" w:rsidRPr="00EE18A7" w:rsidTr="005B6766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b/>
                <w:color w:val="B2A1C7" w:themeColor="accent4" w:themeTint="99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B2A1C7" w:themeColor="accent4" w:themeTint="99"/>
                <w:sz w:val="24"/>
                <w:szCs w:val="24"/>
                <w:lang w:eastAsia="es-ES" w:bidi="ar-SA"/>
              </w:rPr>
              <w:t>Zona euro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   -1,0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   1,7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3,0</w:t>
            </w:r>
          </w:p>
        </w:tc>
      </w:tr>
      <w:tr w:rsidR="005B6766" w:rsidRPr="00EE18A7" w:rsidTr="005B6766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b/>
                <w:color w:val="E36C0A" w:themeColor="accent6" w:themeShade="BF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E36C0A" w:themeColor="accent6" w:themeShade="BF"/>
                <w:sz w:val="24"/>
                <w:szCs w:val="24"/>
                <w:lang w:eastAsia="es-ES" w:bidi="ar-SA"/>
              </w:rPr>
              <w:t>Unió Europea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   -0,8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   1,0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2,8</w:t>
            </w:r>
          </w:p>
        </w:tc>
      </w:tr>
      <w:tr w:rsidR="005B6766" w:rsidRPr="00EE18A7" w:rsidTr="005B6766">
        <w:trPr>
          <w:tblCellSpacing w:w="30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38"/>
            </w:tblGrid>
            <w:tr w:rsidR="005B6766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B6766" w:rsidRPr="00EE18A7" w:rsidRDefault="005B6766" w:rsidP="005B6766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16" name="Imagen 16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B6766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B6766" w:rsidRPr="00EE18A7" w:rsidRDefault="005B6766" w:rsidP="005B6766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lang w:eastAsia="es-ES" w:bidi="ar-SA"/>
                    </w:rPr>
                    <w:drawing>
                      <wp:inline distT="0" distB="0" distL="0" distR="0">
                        <wp:extent cx="7620000" cy="9525"/>
                        <wp:effectExtent l="19050" t="0" r="0" b="0"/>
                        <wp:docPr id="17" name="Imagen 17" descr="http://www.idescat.cat/images/pix_blau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://www.idescat.cat/images/pix_blau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B6766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B6766" w:rsidRPr="00EE18A7" w:rsidRDefault="005B6766" w:rsidP="005B6766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18" name="Imagen 18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B6766" w:rsidRPr="00EE18A7" w:rsidRDefault="005B6766" w:rsidP="005B6766">
            <w:pPr>
              <w:spacing w:after="0" w:line="240" w:lineRule="auto"/>
              <w:ind w:firstLine="0"/>
              <w:rPr>
                <w:rFonts w:ascii="Verdana" w:eastAsia="Times New Roman" w:hAnsi="Verdana" w:cs="Times New Roman"/>
                <w:color w:val="000000"/>
                <w:lang w:eastAsia="es-ES" w:bidi="ar-SA"/>
              </w:rPr>
            </w:pPr>
          </w:p>
        </w:tc>
      </w:tr>
      <w:tr w:rsidR="00D75335" w:rsidRPr="00EE18A7" w:rsidTr="005B6766">
        <w:trPr>
          <w:tblCellSpacing w:w="30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D75335" w:rsidRPr="00EE18A7" w:rsidRDefault="00D75335" w:rsidP="005B6766">
            <w:pPr>
              <w:spacing w:after="0" w:line="240" w:lineRule="auto"/>
              <w:ind w:firstLine="0"/>
              <w:rPr>
                <w:rFonts w:ascii="Verdana" w:eastAsia="Times New Roman" w:hAnsi="Verdana" w:cs="Times New Roman"/>
                <w:color w:val="000000"/>
                <w:lang w:eastAsia="es-ES" w:bidi="ar-SA"/>
              </w:rPr>
            </w:pPr>
          </w:p>
          <w:p w:rsidR="00D75335" w:rsidRPr="00EE18A7" w:rsidRDefault="00D75335" w:rsidP="005B6766">
            <w:pPr>
              <w:spacing w:after="0" w:line="240" w:lineRule="auto"/>
              <w:ind w:firstLine="0"/>
              <w:rPr>
                <w:rFonts w:ascii="Verdana" w:eastAsia="Times New Roman" w:hAnsi="Verdana" w:cs="Times New Roman"/>
                <w:color w:val="000000"/>
                <w:lang w:eastAsia="es-ES" w:bidi="ar-SA"/>
              </w:rPr>
            </w:pPr>
          </w:p>
        </w:tc>
      </w:tr>
    </w:tbl>
    <w:p w:rsidR="00D75335" w:rsidRPr="00EE18A7" w:rsidRDefault="00D75335" w:rsidP="00D75335">
      <w:pPr>
        <w:ind w:firstLine="0"/>
        <w:rPr>
          <w:b/>
        </w:rPr>
      </w:pPr>
      <w:r w:rsidRPr="00EE18A7">
        <w:rPr>
          <w:b/>
          <w:lang w:eastAsia="es-ES" w:bidi="ar-SA"/>
        </w:rPr>
        <w:drawing>
          <wp:inline distT="0" distB="0" distL="0" distR="0">
            <wp:extent cx="4572000" cy="2743200"/>
            <wp:effectExtent l="19050" t="0" r="19050" b="0"/>
            <wp:docPr id="78" name="Gráfico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E18A7" w:rsidRPr="00EE18A7" w:rsidRDefault="00EE18A7" w:rsidP="00EE18A7">
      <w:pPr>
        <w:spacing w:line="276" w:lineRule="auto"/>
        <w:ind w:firstLine="0"/>
        <w:jc w:val="both"/>
        <w:rPr>
          <w:rFonts w:ascii="Arial" w:hAnsi="Arial" w:cs="Arial"/>
          <w:sz w:val="24"/>
          <w:szCs w:val="24"/>
        </w:rPr>
      </w:pPr>
    </w:p>
    <w:p w:rsidR="00D75335" w:rsidRPr="00EE18A7" w:rsidRDefault="00B829B4" w:rsidP="00EE18A7">
      <w:pPr>
        <w:spacing w:line="276" w:lineRule="auto"/>
        <w:ind w:firstLine="0"/>
        <w:jc w:val="both"/>
        <w:rPr>
          <w:b/>
        </w:rPr>
      </w:pPr>
      <w:r w:rsidRPr="00EE18A7">
        <w:rPr>
          <w:rFonts w:ascii="Arial" w:hAnsi="Arial" w:cs="Arial"/>
          <w:sz w:val="24"/>
          <w:szCs w:val="24"/>
        </w:rPr>
        <w:lastRenderedPageBreak/>
        <w:t xml:space="preserve">Podem observar </w:t>
      </w:r>
      <w:r w:rsidR="00DC5FBA" w:rsidRPr="00EE18A7">
        <w:rPr>
          <w:rFonts w:ascii="Arial" w:hAnsi="Arial" w:cs="Arial"/>
          <w:sz w:val="24"/>
          <w:szCs w:val="24"/>
        </w:rPr>
        <w:t>que el creixement del cost la</w:t>
      </w:r>
      <w:r w:rsidRPr="00EE18A7">
        <w:rPr>
          <w:rFonts w:ascii="Arial" w:hAnsi="Arial" w:cs="Arial"/>
          <w:sz w:val="24"/>
          <w:szCs w:val="24"/>
        </w:rPr>
        <w:t xml:space="preserve">boral unitari l’any 2007 era relativament baix comparat amb el 2008 que va començar a pujar. </w:t>
      </w:r>
      <w:r w:rsidR="008A3DE2" w:rsidRPr="00EE18A7">
        <w:rPr>
          <w:rFonts w:ascii="Arial" w:hAnsi="Arial" w:cs="Arial"/>
          <w:sz w:val="24"/>
          <w:szCs w:val="24"/>
        </w:rPr>
        <w:t xml:space="preserve"> </w:t>
      </w:r>
      <w:r w:rsidRPr="00EE18A7">
        <w:rPr>
          <w:rFonts w:ascii="Arial" w:hAnsi="Arial" w:cs="Arial"/>
          <w:sz w:val="24"/>
          <w:szCs w:val="24"/>
        </w:rPr>
        <w:t>Finalment l’any 2009 es va reduir a Catalunya i a Espanya , no obstant a la zona euro i a la unió europea va pujar significativament.</w:t>
      </w:r>
    </w:p>
    <w:p w:rsidR="005B6766" w:rsidRPr="00EE18A7" w:rsidRDefault="005B6766" w:rsidP="005B6766">
      <w:pPr>
        <w:ind w:firstLine="0"/>
        <w:rPr>
          <w:rFonts w:ascii="Broadway" w:hAnsi="Broadway"/>
          <w:b/>
          <w:sz w:val="28"/>
          <w:szCs w:val="28"/>
        </w:rPr>
      </w:pPr>
      <w:r w:rsidRPr="00EE18A7">
        <w:rPr>
          <w:rFonts w:ascii="Broadway" w:hAnsi="Broadway"/>
          <w:b/>
          <w:sz w:val="28"/>
          <w:szCs w:val="28"/>
        </w:rPr>
        <w:t>Deute públic</w:t>
      </w:r>
    </w:p>
    <w:tbl>
      <w:tblPr>
        <w:tblW w:w="5000" w:type="pct"/>
        <w:tblCellSpacing w:w="3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60"/>
        <w:gridCol w:w="2930"/>
        <w:gridCol w:w="2930"/>
        <w:gridCol w:w="938"/>
      </w:tblGrid>
      <w:tr w:rsidR="005B6766" w:rsidRPr="00EE18A7" w:rsidTr="005B6766">
        <w:trPr>
          <w:gridAfter w:val="1"/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5B6766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s-ES" w:bidi="ar-SA"/>
              </w:rPr>
              <w:br/>
              <w:t>           2008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5B6766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s-ES" w:bidi="ar-SA"/>
              </w:rPr>
              <w:t>           2009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5B6766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es-ES" w:bidi="ar-SA"/>
              </w:rPr>
              <w:t>           2010</w:t>
            </w:r>
          </w:p>
        </w:tc>
      </w:tr>
      <w:tr w:rsidR="005B6766" w:rsidRPr="00EE18A7" w:rsidTr="005B6766">
        <w:trPr>
          <w:tblCellSpacing w:w="30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38"/>
            </w:tblGrid>
            <w:tr w:rsidR="005B6766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B6766" w:rsidRPr="00EE18A7" w:rsidRDefault="005B6766" w:rsidP="005B6766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25" name="Imagen 25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B6766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B6766" w:rsidRPr="00EE18A7" w:rsidRDefault="005B6766" w:rsidP="005B6766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es-ES" w:bidi="ar-SA"/>
                    </w:rPr>
                    <w:drawing>
                      <wp:inline distT="0" distB="0" distL="0" distR="0">
                        <wp:extent cx="7620000" cy="9525"/>
                        <wp:effectExtent l="19050" t="0" r="0" b="0"/>
                        <wp:docPr id="26" name="Imagen 26" descr="http://www.idescat.cat/images/pix_blau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http://www.idescat.cat/images/pix_blau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B6766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B6766" w:rsidRPr="00EE18A7" w:rsidRDefault="005B6766" w:rsidP="005B6766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27" name="Imagen 27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B6766" w:rsidRPr="00EE18A7" w:rsidRDefault="005B6766" w:rsidP="005B6766">
            <w:pPr>
              <w:spacing w:after="0" w:line="240" w:lineRule="auto"/>
              <w:ind w:firstLine="0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s-ES" w:bidi="ar-SA"/>
              </w:rPr>
            </w:pPr>
          </w:p>
        </w:tc>
      </w:tr>
      <w:tr w:rsidR="005B6766" w:rsidRPr="00EE18A7" w:rsidTr="005B6766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 w:bidi="ar-SA"/>
              </w:rPr>
              <w:t>Catalunya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   9,3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   11,9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16,2</w:t>
            </w:r>
          </w:p>
        </w:tc>
      </w:tr>
      <w:tr w:rsidR="005B6766" w:rsidRPr="00EE18A7" w:rsidTr="005B6766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b/>
                <w:color w:val="1F497D" w:themeColor="text2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1F497D" w:themeColor="text2"/>
                <w:sz w:val="24"/>
                <w:szCs w:val="24"/>
                <w:lang w:eastAsia="es-ES" w:bidi="ar-SA"/>
              </w:rPr>
              <w:t>Espanya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   40,1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   53,8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61,0</w:t>
            </w:r>
          </w:p>
        </w:tc>
      </w:tr>
      <w:tr w:rsidR="005B6766" w:rsidRPr="00EE18A7" w:rsidTr="005B6766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b/>
                <w:color w:val="5F497A" w:themeColor="accent4" w:themeShade="BF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5F497A" w:themeColor="accent4" w:themeShade="BF"/>
                <w:sz w:val="24"/>
                <w:szCs w:val="24"/>
                <w:lang w:eastAsia="es-ES" w:bidi="ar-SA"/>
              </w:rPr>
              <w:t>Zona euro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   70,1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   79,8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85,3</w:t>
            </w:r>
          </w:p>
        </w:tc>
      </w:tr>
      <w:tr w:rsidR="005B6766" w:rsidRPr="00EE18A7" w:rsidTr="005B6766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b/>
                <w:color w:val="E36C0A" w:themeColor="accent6" w:themeShade="BF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E36C0A" w:themeColor="accent6" w:themeShade="BF"/>
                <w:sz w:val="24"/>
                <w:szCs w:val="24"/>
                <w:lang w:eastAsia="es-ES" w:bidi="ar-SA"/>
              </w:rPr>
              <w:t>Unió Europea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   62,5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   74,7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5B6766" w:rsidRPr="00EE18A7" w:rsidRDefault="005B6766" w:rsidP="00DE3E28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 w:bidi="ar-SA"/>
              </w:rPr>
              <w:t>80,1</w:t>
            </w:r>
          </w:p>
        </w:tc>
      </w:tr>
    </w:tbl>
    <w:p w:rsidR="005B6766" w:rsidRPr="00EE18A7" w:rsidRDefault="005B6766" w:rsidP="005B6766">
      <w:pPr>
        <w:ind w:firstLine="0"/>
        <w:rPr>
          <w:b/>
        </w:rPr>
      </w:pPr>
    </w:p>
    <w:p w:rsidR="00D75335" w:rsidRPr="00EE18A7" w:rsidRDefault="00DA4BB9" w:rsidP="005B6766">
      <w:pPr>
        <w:ind w:firstLine="0"/>
        <w:rPr>
          <w:b/>
        </w:rPr>
      </w:pPr>
      <w:r w:rsidRPr="00EE18A7">
        <w:rPr>
          <w:b/>
          <w:lang w:eastAsia="es-ES" w:bidi="ar-SA"/>
        </w:rPr>
        <w:drawing>
          <wp:inline distT="0" distB="0" distL="0" distR="0">
            <wp:extent cx="4572000" cy="2743200"/>
            <wp:effectExtent l="19050" t="0" r="19050" b="0"/>
            <wp:docPr id="80" name="Gráfico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75335" w:rsidRPr="00EE18A7" w:rsidRDefault="003761C1" w:rsidP="003761C1">
      <w:pPr>
        <w:spacing w:line="276" w:lineRule="auto"/>
        <w:ind w:firstLine="0"/>
        <w:rPr>
          <w:rFonts w:ascii="Arial" w:hAnsi="Arial" w:cs="Arial"/>
          <w:sz w:val="24"/>
          <w:szCs w:val="24"/>
        </w:rPr>
      </w:pPr>
      <w:r w:rsidRPr="00EE18A7">
        <w:rPr>
          <w:rFonts w:ascii="Arial" w:hAnsi="Arial" w:cs="Arial"/>
          <w:sz w:val="24"/>
          <w:szCs w:val="24"/>
        </w:rPr>
        <w:t xml:space="preserve">En front al deute públic conforme han anat passant els anys ha anat ascendent molt significativament com a la Zona euro i a la Unió Europea. No obstant a Espanya també ha ascendit molt més en comparació amb Catalunya. Tot i així el deute ha pujat molt i més en aquests últims anys 2011 i 2012 durant aquesta crisi galopant que estem vivint. </w:t>
      </w:r>
    </w:p>
    <w:p w:rsidR="00DA4BB9" w:rsidRPr="00EE18A7" w:rsidRDefault="00DA4BB9" w:rsidP="003761C1">
      <w:pPr>
        <w:spacing w:line="276" w:lineRule="auto"/>
        <w:ind w:firstLine="0"/>
        <w:rPr>
          <w:rFonts w:ascii="Arial" w:hAnsi="Arial" w:cs="Arial"/>
          <w:sz w:val="24"/>
          <w:szCs w:val="24"/>
        </w:rPr>
      </w:pPr>
    </w:p>
    <w:p w:rsidR="00DA4BB9" w:rsidRPr="00EE18A7" w:rsidRDefault="00DA4BB9" w:rsidP="003761C1">
      <w:pPr>
        <w:spacing w:line="276" w:lineRule="auto"/>
        <w:ind w:firstLine="0"/>
        <w:rPr>
          <w:rFonts w:ascii="Arial" w:hAnsi="Arial" w:cs="Arial"/>
          <w:sz w:val="24"/>
          <w:szCs w:val="24"/>
        </w:rPr>
      </w:pPr>
    </w:p>
    <w:p w:rsidR="00DA4BB9" w:rsidRPr="00EE18A7" w:rsidRDefault="00DA4BB9" w:rsidP="003761C1">
      <w:pPr>
        <w:spacing w:line="276" w:lineRule="auto"/>
        <w:ind w:firstLine="0"/>
        <w:rPr>
          <w:rFonts w:ascii="Arial" w:hAnsi="Arial" w:cs="Arial"/>
          <w:sz w:val="24"/>
          <w:szCs w:val="24"/>
        </w:rPr>
      </w:pPr>
    </w:p>
    <w:p w:rsidR="00DA4BB9" w:rsidRPr="00EE18A7" w:rsidRDefault="00DA4BB9" w:rsidP="003761C1">
      <w:pPr>
        <w:spacing w:line="276" w:lineRule="auto"/>
        <w:ind w:firstLine="0"/>
        <w:rPr>
          <w:rFonts w:ascii="Arial" w:hAnsi="Arial" w:cs="Arial"/>
          <w:sz w:val="24"/>
          <w:szCs w:val="24"/>
        </w:rPr>
      </w:pPr>
    </w:p>
    <w:p w:rsidR="00B945C6" w:rsidRPr="00EE18A7" w:rsidRDefault="00B945C6" w:rsidP="003761C1">
      <w:pPr>
        <w:spacing w:line="276" w:lineRule="auto"/>
        <w:ind w:firstLine="0"/>
        <w:rPr>
          <w:rFonts w:ascii="Arial" w:hAnsi="Arial" w:cs="Arial"/>
          <w:sz w:val="24"/>
          <w:szCs w:val="24"/>
        </w:rPr>
      </w:pPr>
    </w:p>
    <w:p w:rsidR="008B620D" w:rsidRPr="00EE18A7" w:rsidRDefault="003761C1" w:rsidP="003A4A53">
      <w:pPr>
        <w:spacing w:line="276" w:lineRule="auto"/>
        <w:ind w:firstLine="0"/>
        <w:rPr>
          <w:rFonts w:ascii="Broadway" w:hAnsi="Broadway"/>
          <w:b/>
          <w:sz w:val="28"/>
          <w:szCs w:val="28"/>
        </w:rPr>
      </w:pPr>
      <w:r w:rsidRPr="00EE18A7">
        <w:rPr>
          <w:rFonts w:ascii="Broadway" w:hAnsi="Broadway"/>
          <w:b/>
          <w:sz w:val="28"/>
          <w:szCs w:val="28"/>
        </w:rPr>
        <w:lastRenderedPageBreak/>
        <w:t>Inversió estrangera</w:t>
      </w:r>
    </w:p>
    <w:p w:rsidR="003A4A53" w:rsidRPr="00EE18A7" w:rsidRDefault="00222E71" w:rsidP="003A4A53">
      <w:pPr>
        <w:spacing w:line="276" w:lineRule="auto"/>
        <w:ind w:firstLine="0"/>
        <w:rPr>
          <w:rFonts w:ascii="Arial" w:hAnsi="Arial" w:cs="Arial"/>
          <w:b/>
        </w:rPr>
      </w:pPr>
      <w:r w:rsidRPr="00EE18A7">
        <w:rPr>
          <w:rFonts w:ascii="Arial" w:hAnsi="Arial" w:cs="Arial"/>
          <w:b/>
          <w:color w:val="FF0000"/>
          <w:sz w:val="28"/>
          <w:szCs w:val="28"/>
        </w:rPr>
        <w:t>*</w:t>
      </w:r>
      <w:r w:rsidR="003A4A53" w:rsidRPr="00EE18A7">
        <w:rPr>
          <w:rFonts w:ascii="Arial" w:hAnsi="Arial" w:cs="Arial"/>
          <w:b/>
          <w:color w:val="FF0000"/>
          <w:sz w:val="28"/>
          <w:szCs w:val="28"/>
        </w:rPr>
        <w:t>Catalunya</w:t>
      </w:r>
      <w:r w:rsidRPr="00EE18A7">
        <w:rPr>
          <w:rFonts w:ascii="Arial" w:hAnsi="Arial" w:cs="Arial"/>
          <w:b/>
          <w:color w:val="FF0000"/>
          <w:sz w:val="28"/>
          <w:szCs w:val="28"/>
        </w:rPr>
        <w:tab/>
      </w:r>
      <w:r w:rsidRPr="00EE18A7">
        <w:rPr>
          <w:rFonts w:ascii="Arial" w:hAnsi="Arial" w:cs="Arial"/>
          <w:b/>
          <w:sz w:val="28"/>
          <w:szCs w:val="28"/>
        </w:rPr>
        <w:tab/>
      </w:r>
      <w:r w:rsidRPr="00EE18A7">
        <w:rPr>
          <w:rFonts w:ascii="Arial" w:hAnsi="Arial" w:cs="Arial"/>
          <w:b/>
          <w:sz w:val="28"/>
          <w:szCs w:val="28"/>
        </w:rPr>
        <w:tab/>
      </w:r>
      <w:r w:rsidRPr="00EE18A7">
        <w:rPr>
          <w:rFonts w:ascii="Arial" w:hAnsi="Arial" w:cs="Arial"/>
          <w:b/>
          <w:sz w:val="28"/>
          <w:szCs w:val="28"/>
        </w:rPr>
        <w:tab/>
      </w:r>
      <w:r w:rsidRPr="00EE18A7">
        <w:rPr>
          <w:rFonts w:ascii="Arial" w:hAnsi="Arial" w:cs="Arial"/>
          <w:b/>
          <w:sz w:val="28"/>
          <w:szCs w:val="28"/>
        </w:rPr>
        <w:tab/>
        <w:t xml:space="preserve">   </w:t>
      </w:r>
      <w:r w:rsidRPr="00EE18A7">
        <w:rPr>
          <w:rFonts w:ascii="Arial" w:hAnsi="Arial" w:cs="Arial"/>
          <w:b/>
        </w:rPr>
        <w:t>Valor</w:t>
      </w:r>
      <w:r w:rsidRPr="00EE18A7">
        <w:rPr>
          <w:rFonts w:ascii="Arial" w:hAnsi="Arial" w:cs="Arial"/>
          <w:b/>
        </w:rPr>
        <w:tab/>
      </w:r>
      <w:r w:rsidRPr="00EE18A7">
        <w:rPr>
          <w:rFonts w:ascii="Arial" w:hAnsi="Arial" w:cs="Arial"/>
          <w:b/>
        </w:rPr>
        <w:tab/>
        <w:t xml:space="preserve">          (%)</w:t>
      </w:r>
    </w:p>
    <w:tbl>
      <w:tblPr>
        <w:tblW w:w="5000" w:type="pct"/>
        <w:tblCellSpacing w:w="3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030"/>
        <w:gridCol w:w="2399"/>
        <w:gridCol w:w="1329"/>
      </w:tblGrid>
      <w:tr w:rsidR="003A4A53" w:rsidRPr="00EE18A7" w:rsidTr="003A4A53">
        <w:trPr>
          <w:tblCellSpacing w:w="3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38"/>
            </w:tblGrid>
            <w:tr w:rsidR="003A4A53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A4A53" w:rsidRPr="00EE18A7" w:rsidRDefault="003A4A53" w:rsidP="003A4A53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28" name="Imagen 1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A4A53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A4A53" w:rsidRPr="00EE18A7" w:rsidRDefault="003A4A53" w:rsidP="003A4A53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9525"/>
                        <wp:effectExtent l="19050" t="0" r="0" b="0"/>
                        <wp:docPr id="24" name="Imagen 2" descr="http://www.idescat.cat/images/pix_blau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idescat.cat/images/pix_blau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A4A53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A4A53" w:rsidRPr="00EE18A7" w:rsidRDefault="003A4A53" w:rsidP="003A4A53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23" name="Imagen 3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A4A53" w:rsidRPr="00EE18A7" w:rsidRDefault="003A4A53" w:rsidP="003A4A53">
            <w:pPr>
              <w:spacing w:after="0" w:line="240" w:lineRule="auto"/>
              <w:ind w:firstLine="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es-ES" w:bidi="ar-SA"/>
              </w:rPr>
            </w:pPr>
          </w:p>
        </w:tc>
      </w:tr>
      <w:tr w:rsidR="003A4A53" w:rsidRPr="00EE18A7" w:rsidTr="003A4A53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A4A53" w:rsidRPr="00EE18A7" w:rsidRDefault="003A4A53" w:rsidP="003A4A53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A4A53" w:rsidRPr="00EE18A7" w:rsidRDefault="003A4A53" w:rsidP="00222E71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</w:t>
            </w: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3.021,96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A4A53" w:rsidRPr="00EE18A7" w:rsidRDefault="003A4A53" w:rsidP="00222E71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100,0</w:t>
            </w:r>
          </w:p>
        </w:tc>
      </w:tr>
      <w:tr w:rsidR="003A4A53" w:rsidRPr="00EE18A7" w:rsidTr="003A4A53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A4A53" w:rsidRPr="00EE18A7" w:rsidRDefault="003A4A53" w:rsidP="003A4A53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OCDE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A4A53" w:rsidRPr="00EE18A7" w:rsidRDefault="003A4A53" w:rsidP="00222E71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2.865,08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A4A53" w:rsidRPr="00EE18A7" w:rsidRDefault="003A4A53" w:rsidP="00222E71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94,8</w:t>
            </w:r>
          </w:p>
        </w:tc>
      </w:tr>
      <w:tr w:rsidR="003A4A53" w:rsidRPr="00EE18A7" w:rsidTr="003A4A53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A4A53" w:rsidRPr="00EE18A7" w:rsidRDefault="003A4A53" w:rsidP="003A4A53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Unió Europea (27 països)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A4A53" w:rsidRPr="00EE18A7" w:rsidRDefault="003A4A53" w:rsidP="00222E71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2.381,69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A4A53" w:rsidRPr="00EE18A7" w:rsidRDefault="003A4A53" w:rsidP="00222E71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78,8</w:t>
            </w:r>
          </w:p>
        </w:tc>
      </w:tr>
      <w:tr w:rsidR="003A4A53" w:rsidRPr="00EE18A7" w:rsidTr="003A4A53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A4A53" w:rsidRPr="00EE18A7" w:rsidRDefault="003A4A53" w:rsidP="003A4A53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Amèrica del Nord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A4A53" w:rsidRPr="00EE18A7" w:rsidRDefault="003A4A53" w:rsidP="00222E71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12,10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A4A53" w:rsidRPr="00EE18A7" w:rsidRDefault="003A4A53" w:rsidP="00222E71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0,4</w:t>
            </w:r>
          </w:p>
        </w:tc>
      </w:tr>
      <w:tr w:rsidR="003A4A53" w:rsidRPr="00EE18A7" w:rsidTr="003A4A53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A4A53" w:rsidRPr="00EE18A7" w:rsidRDefault="003A4A53" w:rsidP="003A4A53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Amèrica Llatina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A4A53" w:rsidRPr="00EE18A7" w:rsidRDefault="003A4A53" w:rsidP="00222E71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25,47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A4A53" w:rsidRPr="00EE18A7" w:rsidRDefault="003A4A53" w:rsidP="00222E71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0,8</w:t>
            </w:r>
          </w:p>
        </w:tc>
      </w:tr>
      <w:tr w:rsidR="003A4A53" w:rsidRPr="00EE18A7" w:rsidTr="003A4A53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A4A53" w:rsidRPr="00EE18A7" w:rsidRDefault="003A4A53" w:rsidP="003A4A53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Resta d'Amèrica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A4A53" w:rsidRPr="00EE18A7" w:rsidRDefault="003A4A53" w:rsidP="00222E71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53,17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A4A53" w:rsidRPr="00EE18A7" w:rsidRDefault="003A4A53" w:rsidP="00222E71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1,8</w:t>
            </w:r>
          </w:p>
        </w:tc>
      </w:tr>
      <w:tr w:rsidR="003A4A53" w:rsidRPr="00EE18A7" w:rsidTr="003A4A53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A4A53" w:rsidRPr="00EE18A7" w:rsidRDefault="003A4A53" w:rsidP="003A4A53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Àsia i Oceania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A4A53" w:rsidRPr="00EE18A7" w:rsidRDefault="003A4A53" w:rsidP="00222E71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24,06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A4A53" w:rsidRPr="00EE18A7" w:rsidRDefault="003A4A53" w:rsidP="00222E71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0,8</w:t>
            </w:r>
          </w:p>
        </w:tc>
      </w:tr>
      <w:tr w:rsidR="003A4A53" w:rsidRPr="00EE18A7" w:rsidTr="003A4A53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A4A53" w:rsidRPr="00EE18A7" w:rsidRDefault="003A4A53" w:rsidP="003A4A53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Àfrica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A4A53" w:rsidRPr="00EE18A7" w:rsidRDefault="003A4A53" w:rsidP="00222E71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0,90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A4A53" w:rsidRPr="00EE18A7" w:rsidRDefault="003A4A53" w:rsidP="00222E71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0,0</w:t>
            </w:r>
          </w:p>
        </w:tc>
      </w:tr>
      <w:tr w:rsidR="003A4A53" w:rsidRPr="00EE18A7" w:rsidTr="003A4A53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A4A53" w:rsidRPr="00EE18A7" w:rsidRDefault="003A4A53" w:rsidP="003A4A53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Paradisos fiscals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A4A53" w:rsidRPr="00EE18A7" w:rsidRDefault="003A4A53" w:rsidP="00222E71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107,35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3A4A53" w:rsidRPr="00EE18A7" w:rsidRDefault="003A4A53" w:rsidP="00222E71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3,6</w:t>
            </w:r>
          </w:p>
        </w:tc>
      </w:tr>
      <w:tr w:rsidR="003A4A53" w:rsidRPr="00EE18A7" w:rsidTr="003A4A53">
        <w:trPr>
          <w:tblCellSpacing w:w="3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38"/>
            </w:tblGrid>
            <w:tr w:rsidR="003A4A53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A4A53" w:rsidRPr="00EE18A7" w:rsidRDefault="003A4A53" w:rsidP="003A4A53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22" name="Imagen 4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A4A53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A4A53" w:rsidRPr="00EE18A7" w:rsidRDefault="003A4A53" w:rsidP="003A4A53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9525"/>
                        <wp:effectExtent l="19050" t="0" r="0" b="0"/>
                        <wp:docPr id="21" name="Imagen 5" descr="http://www.idescat.cat/images/pix_blau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www.idescat.cat/images/pix_blau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A4A53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A4A53" w:rsidRPr="00EE18A7" w:rsidRDefault="003A4A53" w:rsidP="003A4A53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20" name="Imagen 6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A4A53" w:rsidRPr="00EE18A7" w:rsidRDefault="003A4A53" w:rsidP="003A4A53">
            <w:pPr>
              <w:spacing w:after="0" w:line="240" w:lineRule="auto"/>
              <w:ind w:firstLine="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es-ES" w:bidi="ar-SA"/>
              </w:rPr>
            </w:pPr>
          </w:p>
        </w:tc>
      </w:tr>
    </w:tbl>
    <w:p w:rsidR="00D75335" w:rsidRPr="00EE18A7" w:rsidRDefault="00D75335" w:rsidP="003A4A53">
      <w:pPr>
        <w:spacing w:line="276" w:lineRule="auto"/>
        <w:ind w:firstLine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D75335" w:rsidRPr="00EE18A7" w:rsidRDefault="008A3DE2" w:rsidP="003A4A53">
      <w:pPr>
        <w:spacing w:line="276" w:lineRule="auto"/>
        <w:ind w:firstLine="0"/>
        <w:rPr>
          <w:rFonts w:ascii="Arial" w:hAnsi="Arial" w:cs="Arial"/>
          <w:sz w:val="24"/>
          <w:szCs w:val="24"/>
        </w:rPr>
      </w:pPr>
      <w:r w:rsidRPr="00EE18A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La inversió bruta estrangera a Catalunya ha estat de 3.021,96 milions d'euros fins al quart trimestre del 2011. Per àrees econòmiques, un 94,8% d'aquesta inversió prové de </w:t>
      </w:r>
      <w:proofErr w:type="spellStart"/>
      <w:r w:rsidRPr="00EE18A7">
        <w:rPr>
          <w:rFonts w:ascii="Arial" w:hAnsi="Arial" w:cs="Arial"/>
          <w:color w:val="000000"/>
          <w:sz w:val="24"/>
          <w:szCs w:val="24"/>
          <w:shd w:val="clear" w:color="auto" w:fill="FFFFFF"/>
        </w:rPr>
        <w:t>l'OCDE</w:t>
      </w:r>
      <w:proofErr w:type="spellEnd"/>
      <w:r w:rsidRPr="00EE18A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i específicament un 78,8% de la Unió Europea.</w:t>
      </w:r>
    </w:p>
    <w:p w:rsidR="008B620D" w:rsidRPr="00EE18A7" w:rsidRDefault="00222E71" w:rsidP="008B620D">
      <w:pPr>
        <w:spacing w:line="276" w:lineRule="auto"/>
        <w:ind w:firstLine="0"/>
        <w:jc w:val="both"/>
        <w:rPr>
          <w:rFonts w:ascii="Broadway" w:hAnsi="Broadway"/>
          <w:b/>
          <w:sz w:val="24"/>
          <w:szCs w:val="24"/>
        </w:rPr>
      </w:pPr>
      <w:r w:rsidRPr="00EE18A7">
        <w:rPr>
          <w:rFonts w:ascii="Broadway" w:hAnsi="Broadway"/>
          <w:b/>
          <w:sz w:val="28"/>
          <w:szCs w:val="28"/>
        </w:rPr>
        <w:t>*</w:t>
      </w:r>
      <w:r w:rsidRPr="00EE18A7">
        <w:rPr>
          <w:rFonts w:ascii="Arial" w:hAnsi="Arial" w:cs="Arial"/>
          <w:b/>
          <w:color w:val="1F497D" w:themeColor="text2"/>
          <w:sz w:val="28"/>
          <w:szCs w:val="28"/>
        </w:rPr>
        <w:t>Espanya</w:t>
      </w:r>
      <w:r w:rsidRPr="00EE18A7">
        <w:rPr>
          <w:rFonts w:ascii="Arial" w:hAnsi="Arial" w:cs="Arial"/>
          <w:b/>
          <w:color w:val="1F497D" w:themeColor="text2"/>
          <w:sz w:val="28"/>
          <w:szCs w:val="28"/>
        </w:rPr>
        <w:tab/>
      </w:r>
      <w:r w:rsidRPr="00EE18A7">
        <w:rPr>
          <w:rFonts w:ascii="Arial" w:hAnsi="Arial" w:cs="Arial"/>
          <w:b/>
          <w:color w:val="1F497D" w:themeColor="text2"/>
          <w:sz w:val="28"/>
          <w:szCs w:val="28"/>
        </w:rPr>
        <w:tab/>
      </w:r>
      <w:r w:rsidRPr="00EE18A7">
        <w:rPr>
          <w:rFonts w:ascii="Arial" w:hAnsi="Arial" w:cs="Arial"/>
          <w:b/>
          <w:sz w:val="28"/>
          <w:szCs w:val="28"/>
        </w:rPr>
        <w:tab/>
      </w:r>
      <w:r w:rsidRPr="00EE18A7">
        <w:rPr>
          <w:rFonts w:ascii="Arial" w:hAnsi="Arial" w:cs="Arial"/>
          <w:b/>
          <w:sz w:val="28"/>
          <w:szCs w:val="28"/>
        </w:rPr>
        <w:tab/>
      </w:r>
      <w:r w:rsidRPr="00EE18A7">
        <w:rPr>
          <w:rFonts w:ascii="Arial" w:hAnsi="Arial" w:cs="Arial"/>
          <w:b/>
          <w:sz w:val="28"/>
          <w:szCs w:val="28"/>
        </w:rPr>
        <w:tab/>
      </w:r>
      <w:r w:rsidRPr="00EE18A7">
        <w:rPr>
          <w:rFonts w:ascii="Arial" w:hAnsi="Arial" w:cs="Arial"/>
          <w:b/>
          <w:sz w:val="28"/>
          <w:szCs w:val="28"/>
        </w:rPr>
        <w:tab/>
      </w:r>
      <w:r w:rsidRPr="00EE18A7">
        <w:rPr>
          <w:rFonts w:ascii="Arial" w:hAnsi="Arial" w:cs="Arial"/>
          <w:b/>
        </w:rPr>
        <w:t>Valor                              (%)</w:t>
      </w:r>
      <w:r w:rsidRPr="00EE18A7">
        <w:rPr>
          <w:rFonts w:ascii="Arial" w:hAnsi="Arial" w:cs="Arial"/>
          <w:b/>
        </w:rPr>
        <w:tab/>
      </w:r>
    </w:p>
    <w:tbl>
      <w:tblPr>
        <w:tblW w:w="5000" w:type="pct"/>
        <w:tblCellSpacing w:w="3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67"/>
        <w:gridCol w:w="2696"/>
        <w:gridCol w:w="1395"/>
      </w:tblGrid>
      <w:tr w:rsidR="00222E71" w:rsidRPr="00EE18A7" w:rsidTr="00222E71">
        <w:trPr>
          <w:trHeight w:val="50"/>
          <w:tblCellSpacing w:w="30" w:type="dxa"/>
        </w:trPr>
        <w:tc>
          <w:tcPr>
            <w:tcW w:w="4930" w:type="pct"/>
            <w:gridSpan w:val="3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38"/>
            </w:tblGrid>
            <w:tr w:rsidR="00222E71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34" name="Imagen 13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22E71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9525"/>
                        <wp:effectExtent l="19050" t="0" r="0" b="0"/>
                        <wp:docPr id="33" name="Imagen 14" descr="http://www.idescat.cat/images/pix_blau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://www.idescat.cat/images/pix_blau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22E71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32" name="Imagen 15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22E71" w:rsidRPr="00EE18A7" w:rsidRDefault="00222E71" w:rsidP="00222E71">
            <w:pPr>
              <w:spacing w:after="0" w:line="240" w:lineRule="auto"/>
              <w:ind w:firstLine="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es-ES" w:bidi="ar-SA"/>
              </w:rPr>
            </w:pPr>
          </w:p>
        </w:tc>
      </w:tr>
      <w:tr w:rsidR="00222E71" w:rsidRPr="00EE18A7" w:rsidTr="00222E71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rPr>
                <w:rFonts w:ascii="Verdana" w:eastAsia="Times New Roman" w:hAnsi="Verdana" w:cs="Times New Roman"/>
                <w:b/>
                <w:color w:val="00000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lang w:eastAsia="es-ES" w:bidi="ar-S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both"/>
              <w:rPr>
                <w:rFonts w:ascii="Verdana" w:eastAsia="Times New Roman" w:hAnsi="Verdana" w:cs="Times New Roman"/>
                <w:color w:val="00000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color w:val="000000"/>
                <w:lang w:eastAsia="es-ES" w:bidi="ar-SA"/>
              </w:rPr>
              <w:t>   </w:t>
            </w: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lang w:eastAsia="es-ES" w:bidi="ar-SA"/>
              </w:rPr>
              <w:t>22.480,03</w:t>
            </w:r>
          </w:p>
        </w:tc>
        <w:tc>
          <w:tcPr>
            <w:tcW w:w="676" w:type="pct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both"/>
              <w:rPr>
                <w:rFonts w:ascii="Verdana" w:eastAsia="Times New Roman" w:hAnsi="Verdana" w:cs="Times New Roman"/>
                <w:color w:val="00000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lang w:eastAsia="es-ES" w:bidi="ar-SA"/>
              </w:rPr>
              <w:t>100,0</w:t>
            </w:r>
          </w:p>
        </w:tc>
      </w:tr>
      <w:tr w:rsidR="00222E71" w:rsidRPr="00EE18A7" w:rsidTr="00222E71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rPr>
                <w:rFonts w:ascii="Verdana" w:eastAsia="Times New Roman" w:hAnsi="Verdana" w:cs="Times New Roman"/>
                <w:b/>
                <w:color w:val="00000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color w:val="000000"/>
                <w:lang w:eastAsia="es-ES" w:bidi="ar-SA"/>
              </w:rPr>
              <w:t>OCDE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both"/>
              <w:rPr>
                <w:rFonts w:ascii="Verdana" w:eastAsia="Times New Roman" w:hAnsi="Verdana" w:cs="Times New Roman"/>
                <w:color w:val="00000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color w:val="000000"/>
                <w:lang w:eastAsia="es-ES" w:bidi="ar-SA"/>
              </w:rPr>
              <w:t>   21.406,82</w:t>
            </w:r>
          </w:p>
        </w:tc>
        <w:tc>
          <w:tcPr>
            <w:tcW w:w="676" w:type="pct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both"/>
              <w:rPr>
                <w:rFonts w:ascii="Verdana" w:eastAsia="Times New Roman" w:hAnsi="Verdana" w:cs="Times New Roman"/>
                <w:color w:val="00000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color w:val="000000"/>
                <w:lang w:eastAsia="es-ES" w:bidi="ar-SA"/>
              </w:rPr>
              <w:t>95,2</w:t>
            </w:r>
          </w:p>
        </w:tc>
      </w:tr>
      <w:tr w:rsidR="00222E71" w:rsidRPr="00EE18A7" w:rsidTr="00222E71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rPr>
                <w:rFonts w:ascii="Verdana" w:eastAsia="Times New Roman" w:hAnsi="Verdana" w:cs="Times New Roman"/>
                <w:b/>
                <w:color w:val="00000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color w:val="000000"/>
                <w:lang w:eastAsia="es-ES" w:bidi="ar-SA"/>
              </w:rPr>
              <w:t>Unió Europea (27 països)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both"/>
              <w:rPr>
                <w:rFonts w:ascii="Verdana" w:eastAsia="Times New Roman" w:hAnsi="Verdana" w:cs="Times New Roman"/>
                <w:color w:val="00000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color w:val="000000"/>
                <w:lang w:eastAsia="es-ES" w:bidi="ar-SA"/>
              </w:rPr>
              <w:t>   20.421,60</w:t>
            </w:r>
          </w:p>
        </w:tc>
        <w:tc>
          <w:tcPr>
            <w:tcW w:w="676" w:type="pct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both"/>
              <w:rPr>
                <w:rFonts w:ascii="Verdana" w:eastAsia="Times New Roman" w:hAnsi="Verdana" w:cs="Times New Roman"/>
                <w:color w:val="00000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color w:val="000000"/>
                <w:lang w:eastAsia="es-ES" w:bidi="ar-SA"/>
              </w:rPr>
              <w:t>90,8</w:t>
            </w:r>
          </w:p>
        </w:tc>
      </w:tr>
      <w:tr w:rsidR="00222E71" w:rsidRPr="00EE18A7" w:rsidTr="00222E71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rPr>
                <w:rFonts w:ascii="Verdana" w:eastAsia="Times New Roman" w:hAnsi="Verdana" w:cs="Times New Roman"/>
                <w:b/>
                <w:color w:val="00000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color w:val="000000"/>
                <w:lang w:eastAsia="es-ES" w:bidi="ar-SA"/>
              </w:rPr>
              <w:t>Amèrica del Nord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both"/>
              <w:rPr>
                <w:rFonts w:ascii="Verdana" w:eastAsia="Times New Roman" w:hAnsi="Verdana" w:cs="Times New Roman"/>
                <w:color w:val="00000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color w:val="000000"/>
                <w:lang w:eastAsia="es-ES" w:bidi="ar-SA"/>
              </w:rPr>
              <w:t>   277,23</w:t>
            </w:r>
          </w:p>
        </w:tc>
        <w:tc>
          <w:tcPr>
            <w:tcW w:w="676" w:type="pct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both"/>
              <w:rPr>
                <w:rFonts w:ascii="Verdana" w:eastAsia="Times New Roman" w:hAnsi="Verdana" w:cs="Times New Roman"/>
                <w:color w:val="00000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color w:val="000000"/>
                <w:lang w:eastAsia="es-ES" w:bidi="ar-SA"/>
              </w:rPr>
              <w:t>1,2</w:t>
            </w:r>
          </w:p>
        </w:tc>
      </w:tr>
      <w:tr w:rsidR="00222E71" w:rsidRPr="00EE18A7" w:rsidTr="00222E71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rPr>
                <w:rFonts w:ascii="Verdana" w:eastAsia="Times New Roman" w:hAnsi="Verdana" w:cs="Times New Roman"/>
                <w:b/>
                <w:color w:val="00000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color w:val="000000"/>
                <w:lang w:eastAsia="es-ES" w:bidi="ar-SA"/>
              </w:rPr>
              <w:t>Amèrica Llatina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both"/>
              <w:rPr>
                <w:rFonts w:ascii="Verdana" w:eastAsia="Times New Roman" w:hAnsi="Verdana" w:cs="Times New Roman"/>
                <w:color w:val="00000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color w:val="000000"/>
                <w:lang w:eastAsia="es-ES" w:bidi="ar-SA"/>
              </w:rPr>
              <w:t>   215,52</w:t>
            </w:r>
          </w:p>
        </w:tc>
        <w:tc>
          <w:tcPr>
            <w:tcW w:w="676" w:type="pct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both"/>
              <w:rPr>
                <w:rFonts w:ascii="Verdana" w:eastAsia="Times New Roman" w:hAnsi="Verdana" w:cs="Times New Roman"/>
                <w:color w:val="00000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color w:val="000000"/>
                <w:lang w:eastAsia="es-ES" w:bidi="ar-SA"/>
              </w:rPr>
              <w:t>1,0</w:t>
            </w:r>
          </w:p>
        </w:tc>
      </w:tr>
      <w:tr w:rsidR="00222E71" w:rsidRPr="00EE18A7" w:rsidTr="00222E71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rPr>
                <w:rFonts w:ascii="Verdana" w:eastAsia="Times New Roman" w:hAnsi="Verdana" w:cs="Times New Roman"/>
                <w:b/>
                <w:color w:val="00000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color w:val="000000"/>
                <w:lang w:eastAsia="es-ES" w:bidi="ar-SA"/>
              </w:rPr>
              <w:t>Resta d'Amèrica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both"/>
              <w:rPr>
                <w:rFonts w:ascii="Verdana" w:eastAsia="Times New Roman" w:hAnsi="Verdana" w:cs="Times New Roman"/>
                <w:color w:val="00000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color w:val="000000"/>
                <w:lang w:eastAsia="es-ES" w:bidi="ar-SA"/>
              </w:rPr>
              <w:t>   148,87</w:t>
            </w:r>
          </w:p>
        </w:tc>
        <w:tc>
          <w:tcPr>
            <w:tcW w:w="676" w:type="pct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both"/>
              <w:rPr>
                <w:rFonts w:ascii="Verdana" w:eastAsia="Times New Roman" w:hAnsi="Verdana" w:cs="Times New Roman"/>
                <w:color w:val="00000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color w:val="000000"/>
                <w:lang w:eastAsia="es-ES" w:bidi="ar-SA"/>
              </w:rPr>
              <w:t>0,7</w:t>
            </w:r>
          </w:p>
        </w:tc>
      </w:tr>
      <w:tr w:rsidR="00222E71" w:rsidRPr="00EE18A7" w:rsidTr="00222E71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rPr>
                <w:rFonts w:ascii="Verdana" w:eastAsia="Times New Roman" w:hAnsi="Verdana" w:cs="Times New Roman"/>
                <w:b/>
                <w:color w:val="00000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color w:val="000000"/>
                <w:lang w:eastAsia="es-ES" w:bidi="ar-SA"/>
              </w:rPr>
              <w:t>Àsia i Oceania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both"/>
              <w:rPr>
                <w:rFonts w:ascii="Verdana" w:eastAsia="Times New Roman" w:hAnsi="Verdana" w:cs="Times New Roman"/>
                <w:color w:val="00000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color w:val="000000"/>
                <w:lang w:eastAsia="es-ES" w:bidi="ar-SA"/>
              </w:rPr>
              <w:t>   415,10</w:t>
            </w:r>
          </w:p>
        </w:tc>
        <w:tc>
          <w:tcPr>
            <w:tcW w:w="676" w:type="pct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both"/>
              <w:rPr>
                <w:rFonts w:ascii="Verdana" w:eastAsia="Times New Roman" w:hAnsi="Verdana" w:cs="Times New Roman"/>
                <w:color w:val="00000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color w:val="000000"/>
                <w:lang w:eastAsia="es-ES" w:bidi="ar-SA"/>
              </w:rPr>
              <w:t>1,8</w:t>
            </w:r>
          </w:p>
        </w:tc>
      </w:tr>
      <w:tr w:rsidR="00222E71" w:rsidRPr="00EE18A7" w:rsidTr="00222E71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rPr>
                <w:rFonts w:ascii="Verdana" w:eastAsia="Times New Roman" w:hAnsi="Verdana" w:cs="Times New Roman"/>
                <w:b/>
                <w:color w:val="00000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color w:val="000000"/>
                <w:lang w:eastAsia="es-ES" w:bidi="ar-SA"/>
              </w:rPr>
              <w:t>Àfrica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both"/>
              <w:rPr>
                <w:rFonts w:ascii="Verdana" w:eastAsia="Times New Roman" w:hAnsi="Verdana" w:cs="Times New Roman"/>
                <w:color w:val="00000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color w:val="000000"/>
                <w:lang w:eastAsia="es-ES" w:bidi="ar-SA"/>
              </w:rPr>
              <w:t>   11,64</w:t>
            </w:r>
          </w:p>
        </w:tc>
        <w:tc>
          <w:tcPr>
            <w:tcW w:w="676" w:type="pct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both"/>
              <w:rPr>
                <w:rFonts w:ascii="Verdana" w:eastAsia="Times New Roman" w:hAnsi="Verdana" w:cs="Times New Roman"/>
                <w:color w:val="00000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color w:val="000000"/>
                <w:lang w:eastAsia="es-ES" w:bidi="ar-SA"/>
              </w:rPr>
              <w:t>0,1</w:t>
            </w:r>
          </w:p>
        </w:tc>
      </w:tr>
      <w:tr w:rsidR="00222E71" w:rsidRPr="00EE18A7" w:rsidTr="00222E71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rPr>
                <w:rFonts w:ascii="Verdana" w:eastAsia="Times New Roman" w:hAnsi="Verdana" w:cs="Times New Roman"/>
                <w:b/>
                <w:color w:val="00000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color w:val="000000"/>
                <w:lang w:eastAsia="es-ES" w:bidi="ar-SA"/>
              </w:rPr>
              <w:t>Paradisos fiscals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both"/>
              <w:rPr>
                <w:rFonts w:ascii="Verdana" w:eastAsia="Times New Roman" w:hAnsi="Verdana" w:cs="Times New Roman"/>
                <w:color w:val="00000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color w:val="000000"/>
                <w:lang w:eastAsia="es-ES" w:bidi="ar-SA"/>
              </w:rPr>
              <w:t>   687,42</w:t>
            </w:r>
          </w:p>
        </w:tc>
        <w:tc>
          <w:tcPr>
            <w:tcW w:w="676" w:type="pct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both"/>
              <w:rPr>
                <w:rFonts w:ascii="Verdana" w:eastAsia="Times New Roman" w:hAnsi="Verdana" w:cs="Times New Roman"/>
                <w:color w:val="00000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color w:val="000000"/>
                <w:lang w:eastAsia="es-ES" w:bidi="ar-SA"/>
              </w:rPr>
              <w:t>3,1</w:t>
            </w:r>
          </w:p>
        </w:tc>
      </w:tr>
      <w:tr w:rsidR="00222E71" w:rsidRPr="00EE18A7" w:rsidTr="00222E71">
        <w:trPr>
          <w:tblCellSpacing w:w="30" w:type="dxa"/>
        </w:trPr>
        <w:tc>
          <w:tcPr>
            <w:tcW w:w="4930" w:type="pct"/>
            <w:gridSpan w:val="3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38"/>
            </w:tblGrid>
            <w:tr w:rsidR="00222E71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31" name="Imagen 16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22E71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9525"/>
                        <wp:effectExtent l="19050" t="0" r="0" b="0"/>
                        <wp:docPr id="30" name="Imagen 17" descr="http://www.idescat.cat/images/pix_blau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://www.idescat.cat/images/pix_blau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22E71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29" name="Imagen 18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22E71" w:rsidRPr="00EE18A7" w:rsidRDefault="00222E71" w:rsidP="00222E71">
            <w:pPr>
              <w:spacing w:after="0" w:line="240" w:lineRule="auto"/>
              <w:ind w:firstLine="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es-ES" w:bidi="ar-SA"/>
              </w:rPr>
            </w:pPr>
          </w:p>
        </w:tc>
      </w:tr>
    </w:tbl>
    <w:p w:rsidR="00D75335" w:rsidRPr="00EE18A7" w:rsidRDefault="00222E71" w:rsidP="008B620D">
      <w:pPr>
        <w:spacing w:line="276" w:lineRule="auto"/>
        <w:ind w:firstLine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EE18A7">
        <w:rPr>
          <w:rFonts w:ascii="Arial" w:hAnsi="Arial" w:cs="Arial"/>
          <w:color w:val="000000"/>
          <w:sz w:val="24"/>
          <w:szCs w:val="24"/>
          <w:shd w:val="clear" w:color="auto" w:fill="FFFFFF"/>
        </w:rPr>
        <w:t>La inversió estrangera a Espanya ha estat de 22.480,03 milions d'euros, dels quals un 95,2% correspon a països de la OCDE.</w:t>
      </w:r>
    </w:p>
    <w:p w:rsidR="00B945C6" w:rsidRPr="00EE18A7" w:rsidRDefault="00B945C6" w:rsidP="008B620D">
      <w:pPr>
        <w:spacing w:line="276" w:lineRule="auto"/>
        <w:ind w:firstLine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B945C6" w:rsidRPr="00EE18A7" w:rsidRDefault="00B945C6" w:rsidP="008B620D">
      <w:pPr>
        <w:spacing w:line="276" w:lineRule="auto"/>
        <w:ind w:firstLine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B945C6" w:rsidRPr="00EE18A7" w:rsidRDefault="00B945C6" w:rsidP="008B620D">
      <w:pPr>
        <w:spacing w:line="276" w:lineRule="auto"/>
        <w:ind w:firstLine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B945C6" w:rsidRPr="00EE18A7" w:rsidRDefault="00B945C6" w:rsidP="008B620D">
      <w:pPr>
        <w:spacing w:line="276" w:lineRule="auto"/>
        <w:ind w:firstLine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B945C6" w:rsidRPr="00EE18A7" w:rsidRDefault="00B945C6" w:rsidP="008B620D">
      <w:pPr>
        <w:spacing w:line="276" w:lineRule="auto"/>
        <w:ind w:firstLine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B945C6" w:rsidRPr="00EE18A7" w:rsidRDefault="00B945C6" w:rsidP="008B620D">
      <w:pPr>
        <w:spacing w:line="276" w:lineRule="auto"/>
        <w:ind w:firstLine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222E71" w:rsidRPr="00EE18A7" w:rsidRDefault="00222E71" w:rsidP="008B620D">
      <w:pPr>
        <w:spacing w:line="276" w:lineRule="auto"/>
        <w:ind w:firstLine="0"/>
        <w:jc w:val="both"/>
        <w:rPr>
          <w:rFonts w:ascii="Broadway" w:hAnsi="Broadway"/>
          <w:b/>
          <w:sz w:val="28"/>
          <w:szCs w:val="28"/>
        </w:rPr>
      </w:pPr>
      <w:r w:rsidRPr="00EE18A7">
        <w:rPr>
          <w:rFonts w:ascii="Broadway" w:hAnsi="Broadway"/>
          <w:b/>
          <w:sz w:val="28"/>
          <w:szCs w:val="28"/>
        </w:rPr>
        <w:lastRenderedPageBreak/>
        <w:t>E</w:t>
      </w:r>
      <w:r w:rsidR="008A3DE2" w:rsidRPr="00EE18A7">
        <w:rPr>
          <w:rFonts w:ascii="Broadway" w:hAnsi="Broadway"/>
          <w:b/>
          <w:sz w:val="28"/>
          <w:szCs w:val="28"/>
        </w:rPr>
        <w:t>xportacions</w:t>
      </w:r>
    </w:p>
    <w:p w:rsidR="00222E71" w:rsidRPr="00EE18A7" w:rsidRDefault="00222E71" w:rsidP="00222E71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EE18A7">
        <w:rPr>
          <w:rFonts w:ascii="Arial" w:hAnsi="Arial" w:cs="Arial"/>
          <w:b/>
          <w:color w:val="FF0000"/>
          <w:sz w:val="28"/>
          <w:szCs w:val="28"/>
        </w:rPr>
        <w:t>Catalunya</w:t>
      </w:r>
      <w:r w:rsidRPr="00EE18A7">
        <w:rPr>
          <w:rFonts w:ascii="Arial" w:hAnsi="Arial" w:cs="Arial"/>
          <w:b/>
          <w:sz w:val="28"/>
          <w:szCs w:val="28"/>
        </w:rPr>
        <w:t xml:space="preserve"> , gener 2012</w:t>
      </w:r>
    </w:p>
    <w:tbl>
      <w:tblPr>
        <w:tblW w:w="5000" w:type="pct"/>
        <w:tblCellSpacing w:w="3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68"/>
        <w:gridCol w:w="1915"/>
        <w:gridCol w:w="1359"/>
        <w:gridCol w:w="1265"/>
        <w:gridCol w:w="1152"/>
        <w:gridCol w:w="641"/>
        <w:gridCol w:w="558"/>
      </w:tblGrid>
      <w:tr w:rsidR="00A63625" w:rsidRPr="00EE18A7" w:rsidTr="00A63625">
        <w:trPr>
          <w:gridAfter w:val="1"/>
          <w:wAfter w:w="249" w:type="pct"/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A63625" w:rsidP="00A63625">
            <w:pPr>
              <w:spacing w:after="0" w:line="240" w:lineRule="auto"/>
              <w:ind w:firstLine="0"/>
              <w:jc w:val="both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lang w:eastAsia="es-ES" w:bidi="ar-SA"/>
              </w:rPr>
              <w:t xml:space="preserve">Països </w:t>
            </w:r>
            <w:r w:rsidR="00222E71"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lang w:eastAsia="es-ES" w:bidi="ar-SA"/>
              </w:rPr>
              <w:t> </w:t>
            </w: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lang w:eastAsia="es-ES" w:bidi="ar-SA"/>
              </w:rPr>
              <w:t xml:space="preserve">                          </w:t>
            </w:r>
            <w:r w:rsidR="00222E71"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lang w:eastAsia="es-ES" w:bidi="ar-SA"/>
              </w:rPr>
              <w:t>Valor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lang w:eastAsia="es-ES" w:bidi="ar-SA"/>
              </w:rPr>
              <w:t>      </w:t>
            </w:r>
            <w:r w:rsidR="00A63625"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lang w:eastAsia="es-ES" w:bidi="ar-SA"/>
              </w:rPr>
              <w:t xml:space="preserve"> </w:t>
            </w: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lang w:eastAsia="es-ES" w:bidi="ar-SA"/>
              </w:rPr>
              <w:t>  % sobre total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lang w:eastAsia="es-ES" w:bidi="ar-SA"/>
              </w:rPr>
              <w:t>        absoluta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lang w:eastAsia="es-ES" w:bidi="ar-SA"/>
              </w:rPr>
              <w:t>         % mes</w:t>
            </w:r>
          </w:p>
        </w:tc>
        <w:tc>
          <w:tcPr>
            <w:tcW w:w="889" w:type="pct"/>
            <w:gridSpan w:val="2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lang w:eastAsia="es-ES" w:bidi="ar-SA"/>
              </w:rPr>
              <w:t xml:space="preserve">        % </w:t>
            </w:r>
            <w:r w:rsidR="00A63625"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lang w:eastAsia="es-ES" w:bidi="ar-SA"/>
              </w:rPr>
              <w:t xml:space="preserve"> </w:t>
            </w: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lang w:eastAsia="es-ES" w:bidi="ar-SA"/>
              </w:rPr>
              <w:t>acumulat</w:t>
            </w:r>
          </w:p>
        </w:tc>
      </w:tr>
      <w:tr w:rsidR="00222E71" w:rsidRPr="00EE18A7" w:rsidTr="00A63625">
        <w:trPr>
          <w:tblCellSpacing w:w="30" w:type="dxa"/>
        </w:trPr>
        <w:tc>
          <w:tcPr>
            <w:tcW w:w="4930" w:type="pct"/>
            <w:gridSpan w:val="7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38"/>
            </w:tblGrid>
            <w:tr w:rsidR="00222E71" w:rsidRPr="00EE18A7" w:rsidTr="00A6362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229" name="Imagen 229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9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22E71" w:rsidRPr="00EE18A7" w:rsidTr="00A6362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9525"/>
                        <wp:effectExtent l="19050" t="0" r="0" b="0"/>
                        <wp:docPr id="230" name="Imagen 230" descr="http://www.idescat.cat/images/pix_blau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0" descr="http://www.idescat.cat/images/pix_blau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22E71" w:rsidRPr="00EE18A7" w:rsidTr="00A6362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231" name="Imagen 231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1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22E71" w:rsidRPr="00EE18A7" w:rsidRDefault="00222E71" w:rsidP="00222E71">
            <w:pPr>
              <w:spacing w:after="0" w:line="240" w:lineRule="auto"/>
              <w:ind w:firstLine="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es-ES" w:bidi="ar-SA"/>
              </w:rPr>
            </w:pPr>
          </w:p>
        </w:tc>
      </w:tr>
      <w:tr w:rsidR="00A63625" w:rsidRPr="00EE18A7" w:rsidTr="00A63625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</w:t>
            </w: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4.450,1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</w:t>
            </w: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100,0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</w:t>
            </w: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417,8</w:t>
            </w:r>
          </w:p>
        </w:tc>
        <w:tc>
          <w:tcPr>
            <w:tcW w:w="580" w:type="pct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</w:t>
            </w: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10,4</w:t>
            </w:r>
          </w:p>
        </w:tc>
        <w:tc>
          <w:tcPr>
            <w:tcW w:w="557" w:type="pct"/>
            <w:gridSpan w:val="2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10,4</w:t>
            </w:r>
          </w:p>
        </w:tc>
      </w:tr>
      <w:tr w:rsidR="00A63625" w:rsidRPr="00EE18A7" w:rsidTr="00A63625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 xml:space="preserve">Unió Europea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2.881,2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64,7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70,3</w:t>
            </w:r>
          </w:p>
        </w:tc>
        <w:tc>
          <w:tcPr>
            <w:tcW w:w="580" w:type="pct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2,5</w:t>
            </w:r>
          </w:p>
        </w:tc>
        <w:tc>
          <w:tcPr>
            <w:tcW w:w="557" w:type="pct"/>
            <w:gridSpan w:val="2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2,5</w:t>
            </w:r>
          </w:p>
        </w:tc>
      </w:tr>
      <w:tr w:rsidR="00A63625" w:rsidRPr="00EE18A7" w:rsidTr="00A63625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     Alemanya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529,2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11,9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85,3</w:t>
            </w:r>
          </w:p>
        </w:tc>
        <w:tc>
          <w:tcPr>
            <w:tcW w:w="580" w:type="pct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19,2</w:t>
            </w:r>
          </w:p>
        </w:tc>
        <w:tc>
          <w:tcPr>
            <w:tcW w:w="557" w:type="pct"/>
            <w:gridSpan w:val="2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19,2</w:t>
            </w:r>
          </w:p>
        </w:tc>
      </w:tr>
      <w:tr w:rsidR="00A63625" w:rsidRPr="00EE18A7" w:rsidTr="00A63625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     França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877,8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19,7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84,3</w:t>
            </w:r>
          </w:p>
        </w:tc>
        <w:tc>
          <w:tcPr>
            <w:tcW w:w="580" w:type="pct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10,6</w:t>
            </w:r>
          </w:p>
        </w:tc>
        <w:tc>
          <w:tcPr>
            <w:tcW w:w="557" w:type="pct"/>
            <w:gridSpan w:val="2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10,6</w:t>
            </w:r>
          </w:p>
        </w:tc>
      </w:tr>
      <w:tr w:rsidR="00A63625" w:rsidRPr="00EE18A7" w:rsidTr="00A63625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     Itàlia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338,5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7,6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-72,8</w:t>
            </w:r>
          </w:p>
        </w:tc>
        <w:tc>
          <w:tcPr>
            <w:tcW w:w="580" w:type="pct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-17,7</w:t>
            </w:r>
          </w:p>
        </w:tc>
        <w:tc>
          <w:tcPr>
            <w:tcW w:w="557" w:type="pct"/>
            <w:gridSpan w:val="2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-17,7</w:t>
            </w:r>
          </w:p>
        </w:tc>
      </w:tr>
      <w:tr w:rsidR="00A63625" w:rsidRPr="00EE18A7" w:rsidTr="00A63625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     Regne Unit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194,5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4,4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-4,4</w:t>
            </w:r>
          </w:p>
        </w:tc>
        <w:tc>
          <w:tcPr>
            <w:tcW w:w="580" w:type="pct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-2,2</w:t>
            </w:r>
          </w:p>
        </w:tc>
        <w:tc>
          <w:tcPr>
            <w:tcW w:w="557" w:type="pct"/>
            <w:gridSpan w:val="2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-2,2</w:t>
            </w:r>
          </w:p>
        </w:tc>
      </w:tr>
      <w:tr w:rsidR="00A63625" w:rsidRPr="00EE18A7" w:rsidTr="00A63625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Resta món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1.568,9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35,3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347,5</w:t>
            </w:r>
          </w:p>
        </w:tc>
        <w:tc>
          <w:tcPr>
            <w:tcW w:w="580" w:type="pct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28,5</w:t>
            </w:r>
          </w:p>
        </w:tc>
        <w:tc>
          <w:tcPr>
            <w:tcW w:w="557" w:type="pct"/>
            <w:gridSpan w:val="2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28,5</w:t>
            </w:r>
          </w:p>
        </w:tc>
      </w:tr>
      <w:tr w:rsidR="00222E71" w:rsidRPr="00EE18A7" w:rsidTr="00A63625">
        <w:trPr>
          <w:tblCellSpacing w:w="30" w:type="dxa"/>
        </w:trPr>
        <w:tc>
          <w:tcPr>
            <w:tcW w:w="4930" w:type="pct"/>
            <w:gridSpan w:val="7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38"/>
            </w:tblGrid>
            <w:tr w:rsidR="00222E71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232" name="Imagen 232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2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22E71" w:rsidRPr="00EE18A7" w:rsidRDefault="00222E71" w:rsidP="00222E71">
            <w:pPr>
              <w:spacing w:after="0" w:line="240" w:lineRule="auto"/>
              <w:ind w:firstLine="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es-ES" w:bidi="ar-SA"/>
              </w:rPr>
            </w:pPr>
          </w:p>
        </w:tc>
      </w:tr>
    </w:tbl>
    <w:p w:rsidR="00DA4BB9" w:rsidRPr="00EE18A7" w:rsidRDefault="00DA4BB9" w:rsidP="00DA4BB9">
      <w:pPr>
        <w:pStyle w:val="Prrafodelista"/>
        <w:spacing w:line="276" w:lineRule="auto"/>
        <w:ind w:firstLine="0"/>
        <w:jc w:val="both"/>
        <w:rPr>
          <w:rFonts w:ascii="Arial" w:hAnsi="Arial" w:cs="Arial"/>
          <w:b/>
          <w:sz w:val="28"/>
          <w:szCs w:val="28"/>
        </w:rPr>
      </w:pPr>
    </w:p>
    <w:p w:rsidR="00DA4BB9" w:rsidRPr="00EE18A7" w:rsidRDefault="00DA4BB9" w:rsidP="00DA4BB9">
      <w:pPr>
        <w:pStyle w:val="Prrafodelista"/>
        <w:spacing w:line="276" w:lineRule="auto"/>
        <w:ind w:firstLine="0"/>
        <w:jc w:val="both"/>
        <w:rPr>
          <w:rFonts w:ascii="Arial" w:hAnsi="Arial" w:cs="Arial"/>
          <w:b/>
          <w:sz w:val="28"/>
          <w:szCs w:val="28"/>
        </w:rPr>
      </w:pPr>
    </w:p>
    <w:p w:rsidR="008A3DE2" w:rsidRPr="00EE18A7" w:rsidRDefault="00222E71" w:rsidP="00DA4BB9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r w:rsidRPr="00EE18A7">
        <w:rPr>
          <w:rFonts w:ascii="Arial" w:hAnsi="Arial" w:cs="Arial"/>
          <w:b/>
          <w:color w:val="1F497D" w:themeColor="text2"/>
          <w:sz w:val="28"/>
          <w:szCs w:val="28"/>
        </w:rPr>
        <w:t>Espanya</w:t>
      </w:r>
      <w:r w:rsidRPr="00EE18A7">
        <w:rPr>
          <w:rFonts w:ascii="Arial" w:hAnsi="Arial" w:cs="Arial"/>
          <w:b/>
          <w:sz w:val="28"/>
          <w:szCs w:val="28"/>
        </w:rPr>
        <w:t>, gener 2012</w:t>
      </w:r>
    </w:p>
    <w:tbl>
      <w:tblPr>
        <w:tblW w:w="5000" w:type="pct"/>
        <w:tblCellSpacing w:w="3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63"/>
        <w:gridCol w:w="2202"/>
        <w:gridCol w:w="1612"/>
        <w:gridCol w:w="1498"/>
        <w:gridCol w:w="2021"/>
        <w:gridCol w:w="662"/>
      </w:tblGrid>
      <w:tr w:rsidR="00222E71" w:rsidRPr="00EE18A7" w:rsidTr="00222E71">
        <w:trPr>
          <w:gridAfter w:val="1"/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A63625" w:rsidP="00222E71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es-ES" w:bidi="ar-SA"/>
              </w:rPr>
              <w:t xml:space="preserve">  </w:t>
            </w:r>
            <w:r w:rsidR="00222E71"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es-ES" w:bidi="ar-SA"/>
              </w:rPr>
              <w:t>Valor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es-ES" w:bidi="ar-SA"/>
              </w:rPr>
              <w:t>        % sobre total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es-ES" w:bidi="ar-SA"/>
              </w:rPr>
              <w:t>        absoluta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es-ES" w:bidi="ar-SA"/>
              </w:rPr>
              <w:t>         % mes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es-ES" w:bidi="ar-SA"/>
              </w:rPr>
              <w:t>        % acumulat</w:t>
            </w:r>
          </w:p>
        </w:tc>
      </w:tr>
      <w:tr w:rsidR="00222E71" w:rsidRPr="00EE18A7" w:rsidTr="00222E71">
        <w:trPr>
          <w:tblCellSpacing w:w="30" w:type="dxa"/>
        </w:trPr>
        <w:tc>
          <w:tcPr>
            <w:tcW w:w="0" w:type="auto"/>
            <w:gridSpan w:val="6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38"/>
            </w:tblGrid>
            <w:tr w:rsidR="00222E71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237" name="Imagen 237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7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22E71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9525"/>
                        <wp:effectExtent l="19050" t="0" r="0" b="0"/>
                        <wp:docPr id="238" name="Imagen 238" descr="http://www.idescat.cat/images/pix_blau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8" descr="http://www.idescat.cat/images/pix_blau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22E71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239" name="Imagen 239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9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22E71" w:rsidRPr="00EE18A7" w:rsidRDefault="00222E71" w:rsidP="00222E71">
            <w:pPr>
              <w:spacing w:after="0" w:line="240" w:lineRule="auto"/>
              <w:ind w:firstLine="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es-ES" w:bidi="ar-SA"/>
              </w:rPr>
            </w:pPr>
          </w:p>
        </w:tc>
      </w:tr>
      <w:tr w:rsidR="00222E71" w:rsidRPr="00EE18A7" w:rsidTr="00222E71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</w:t>
            </w: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16.579,2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</w:t>
            </w: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100,0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</w:t>
            </w: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624,1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</w:t>
            </w: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3,9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3,9</w:t>
            </w:r>
          </w:p>
        </w:tc>
      </w:tr>
      <w:tr w:rsidR="00222E71" w:rsidRPr="00EE18A7" w:rsidTr="00222E71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 xml:space="preserve">Unió Europea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10.949,7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66,0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84,3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0,8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0,8</w:t>
            </w:r>
          </w:p>
        </w:tc>
      </w:tr>
      <w:tr w:rsidR="00222E71" w:rsidRPr="00EE18A7" w:rsidTr="00222E71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     Alemanya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1.886,2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11,4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93,4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5,2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5,2</w:t>
            </w:r>
          </w:p>
        </w:tc>
      </w:tr>
      <w:tr w:rsidR="00222E71" w:rsidRPr="00EE18A7" w:rsidTr="00222E71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     França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2.953,4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17,8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22,4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0,8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0,8</w:t>
            </w:r>
          </w:p>
        </w:tc>
      </w:tr>
      <w:tr w:rsidR="00222E71" w:rsidRPr="00EE18A7" w:rsidTr="00222E71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     Itàlia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1.210,6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7,3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-138,6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-10,3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-10,3</w:t>
            </w:r>
          </w:p>
        </w:tc>
      </w:tr>
      <w:tr w:rsidR="00222E71" w:rsidRPr="00EE18A7" w:rsidTr="00222E71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     Regne Unit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997,0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6,0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12,2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1,2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1,2</w:t>
            </w:r>
          </w:p>
        </w:tc>
      </w:tr>
      <w:tr w:rsidR="00222E71" w:rsidRPr="00EE18A7" w:rsidTr="00222E71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Resta món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5.629,5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34,0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539,8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10,6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10,6</w:t>
            </w:r>
          </w:p>
        </w:tc>
      </w:tr>
    </w:tbl>
    <w:p w:rsidR="00222E71" w:rsidRPr="00EE18A7" w:rsidRDefault="00222E71" w:rsidP="008B620D">
      <w:pPr>
        <w:spacing w:line="276" w:lineRule="auto"/>
        <w:ind w:firstLine="0"/>
        <w:jc w:val="both"/>
        <w:rPr>
          <w:rFonts w:ascii="Broadway" w:hAnsi="Broadway"/>
          <w:b/>
          <w:sz w:val="28"/>
          <w:szCs w:val="28"/>
        </w:rPr>
      </w:pPr>
    </w:p>
    <w:p w:rsidR="00DA4BB9" w:rsidRPr="00EE18A7" w:rsidRDefault="00222E71" w:rsidP="008B620D">
      <w:pPr>
        <w:spacing w:line="276" w:lineRule="auto"/>
        <w:ind w:firstLine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EE18A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Les exportacions catalanes han augmentat un 10,4% interanual al gener del 2012. El conjunt de les vendes a la Unió Europea ha augmentat un 2,5% i </w:t>
      </w:r>
      <w:proofErr w:type="spellStart"/>
      <w:r w:rsidRPr="00EE18A7">
        <w:rPr>
          <w:rFonts w:ascii="Arial" w:hAnsi="Arial" w:cs="Arial"/>
          <w:color w:val="000000"/>
          <w:sz w:val="24"/>
          <w:szCs w:val="24"/>
          <w:shd w:val="clear" w:color="auto" w:fill="FFFFFF"/>
        </w:rPr>
        <w:t>d'entre</w:t>
      </w:r>
      <w:proofErr w:type="spellEnd"/>
      <w:r w:rsidRPr="00EE18A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els principals països membres, cal destacar </w:t>
      </w:r>
      <w:proofErr w:type="spellStart"/>
      <w:r w:rsidRPr="00EE18A7">
        <w:rPr>
          <w:rFonts w:ascii="Arial" w:hAnsi="Arial" w:cs="Arial"/>
          <w:color w:val="000000"/>
          <w:sz w:val="24"/>
          <w:szCs w:val="24"/>
          <w:shd w:val="clear" w:color="auto" w:fill="FFFFFF"/>
        </w:rPr>
        <w:t>l'increment</w:t>
      </w:r>
      <w:proofErr w:type="spellEnd"/>
      <w:r w:rsidRPr="00EE18A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de les exportacions a Alemanya (19,2%). Les vendes a la resta del món han crescut un 28,5% interanual. A Espanya, les exportacions han mostrat una taxa de variació interanual positiva (3,9%).</w:t>
      </w:r>
    </w:p>
    <w:p w:rsidR="00B945C6" w:rsidRPr="00EE18A7" w:rsidRDefault="00B945C6" w:rsidP="008B620D">
      <w:pPr>
        <w:spacing w:line="276" w:lineRule="auto"/>
        <w:ind w:firstLine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B945C6" w:rsidRPr="00EE18A7" w:rsidRDefault="00B945C6" w:rsidP="008B620D">
      <w:pPr>
        <w:spacing w:line="276" w:lineRule="auto"/>
        <w:ind w:firstLine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B945C6" w:rsidRPr="00EE18A7" w:rsidRDefault="00B945C6" w:rsidP="008B620D">
      <w:pPr>
        <w:spacing w:line="276" w:lineRule="auto"/>
        <w:ind w:firstLine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B945C6" w:rsidRPr="00EE18A7" w:rsidRDefault="00B945C6" w:rsidP="008B620D">
      <w:pPr>
        <w:spacing w:line="276" w:lineRule="auto"/>
        <w:ind w:firstLine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B945C6" w:rsidRPr="00EE18A7" w:rsidRDefault="00B945C6" w:rsidP="008B620D">
      <w:pPr>
        <w:spacing w:line="276" w:lineRule="auto"/>
        <w:ind w:firstLine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B945C6" w:rsidRPr="00EE18A7" w:rsidRDefault="00B945C6" w:rsidP="008B620D">
      <w:pPr>
        <w:spacing w:line="276" w:lineRule="auto"/>
        <w:ind w:firstLine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B945C6" w:rsidRPr="00EE18A7" w:rsidRDefault="00B945C6" w:rsidP="008B620D">
      <w:pPr>
        <w:spacing w:line="276" w:lineRule="auto"/>
        <w:ind w:firstLine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222E71" w:rsidRPr="00EE18A7" w:rsidRDefault="00222E71" w:rsidP="008B620D">
      <w:pPr>
        <w:spacing w:line="276" w:lineRule="auto"/>
        <w:ind w:firstLine="0"/>
        <w:jc w:val="both"/>
        <w:rPr>
          <w:rFonts w:ascii="Broadway" w:hAnsi="Broadway"/>
          <w:b/>
          <w:color w:val="000000"/>
          <w:sz w:val="28"/>
          <w:szCs w:val="28"/>
          <w:shd w:val="clear" w:color="auto" w:fill="FFFFFF"/>
        </w:rPr>
      </w:pPr>
      <w:r w:rsidRPr="00EE18A7">
        <w:rPr>
          <w:rFonts w:ascii="Broadway" w:hAnsi="Broadway"/>
          <w:b/>
          <w:color w:val="000000"/>
          <w:sz w:val="28"/>
          <w:szCs w:val="28"/>
          <w:shd w:val="clear" w:color="auto" w:fill="FFFFFF"/>
        </w:rPr>
        <w:lastRenderedPageBreak/>
        <w:t>I</w:t>
      </w:r>
      <w:r w:rsidR="008A3DE2" w:rsidRPr="00EE18A7">
        <w:rPr>
          <w:rFonts w:ascii="Broadway" w:hAnsi="Broadway"/>
          <w:b/>
          <w:color w:val="000000"/>
          <w:sz w:val="28"/>
          <w:szCs w:val="28"/>
          <w:shd w:val="clear" w:color="auto" w:fill="FFFFFF"/>
        </w:rPr>
        <w:t>mportacions</w:t>
      </w:r>
    </w:p>
    <w:p w:rsidR="00222E71" w:rsidRPr="00EE18A7" w:rsidRDefault="00222E71" w:rsidP="00222E71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EE18A7">
        <w:rPr>
          <w:rFonts w:ascii="Arial" w:hAnsi="Arial" w:cs="Arial"/>
          <w:b/>
          <w:color w:val="FF0000"/>
          <w:sz w:val="28"/>
          <w:szCs w:val="28"/>
        </w:rPr>
        <w:t>Catalunya.</w:t>
      </w:r>
      <w:r w:rsidRPr="00EE18A7">
        <w:rPr>
          <w:rFonts w:ascii="Arial" w:hAnsi="Arial" w:cs="Arial"/>
          <w:b/>
          <w:sz w:val="28"/>
          <w:szCs w:val="28"/>
        </w:rPr>
        <w:t xml:space="preserve"> Gener 2012</w:t>
      </w:r>
    </w:p>
    <w:tbl>
      <w:tblPr>
        <w:tblW w:w="5000" w:type="pct"/>
        <w:tblCellSpacing w:w="3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21"/>
        <w:gridCol w:w="2160"/>
        <w:gridCol w:w="1581"/>
        <w:gridCol w:w="1469"/>
        <w:gridCol w:w="1981"/>
        <w:gridCol w:w="746"/>
      </w:tblGrid>
      <w:tr w:rsidR="00222E71" w:rsidRPr="00EE18A7" w:rsidTr="00222E71">
        <w:trPr>
          <w:gridAfter w:val="1"/>
          <w:wAfter w:w="350" w:type="pct"/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es-ES" w:bidi="ar-SA"/>
              </w:rPr>
              <w:t>Valor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es-ES" w:bidi="ar-SA"/>
              </w:rPr>
              <w:t>        % sobre total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es-ES" w:bidi="ar-SA"/>
              </w:rPr>
              <w:t>        absoluta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es-ES" w:bidi="ar-SA"/>
              </w:rPr>
              <w:t>         % mes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es-ES" w:bidi="ar-SA"/>
              </w:rPr>
              <w:t>        % acumulat</w:t>
            </w:r>
          </w:p>
        </w:tc>
      </w:tr>
      <w:tr w:rsidR="00222E71" w:rsidRPr="00EE18A7" w:rsidTr="00A63625">
        <w:trPr>
          <w:tblCellSpacing w:w="30" w:type="dxa"/>
        </w:trPr>
        <w:tc>
          <w:tcPr>
            <w:tcW w:w="4930" w:type="pct"/>
            <w:gridSpan w:val="6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38"/>
            </w:tblGrid>
            <w:tr w:rsidR="00222E71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243" name="Imagen 243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3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22E71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es-ES" w:bidi="ar-SA"/>
                    </w:rPr>
                    <w:drawing>
                      <wp:inline distT="0" distB="0" distL="0" distR="0">
                        <wp:extent cx="7620000" cy="9525"/>
                        <wp:effectExtent l="19050" t="0" r="0" b="0"/>
                        <wp:docPr id="244" name="Imagen 244" descr="http://www.idescat.cat/images/pix_blau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4" descr="http://www.idescat.cat/images/pix_blau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22E71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245" name="Imagen 245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5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22E71" w:rsidRPr="00EE18A7" w:rsidRDefault="00222E71" w:rsidP="00222E71">
            <w:pPr>
              <w:spacing w:after="0" w:line="240" w:lineRule="auto"/>
              <w:ind w:firstLine="0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s-ES" w:bidi="ar-SA"/>
              </w:rPr>
            </w:pPr>
          </w:p>
        </w:tc>
      </w:tr>
      <w:tr w:rsidR="00222E71" w:rsidRPr="00EE18A7" w:rsidTr="00A63625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</w:t>
            </w: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5.362,6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</w:t>
            </w: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100,0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</w:t>
            </w: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-436,9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</w:t>
            </w: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-7,5</w:t>
            </w:r>
          </w:p>
        </w:tc>
        <w:tc>
          <w:tcPr>
            <w:tcW w:w="350" w:type="pct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-7,5</w:t>
            </w:r>
          </w:p>
        </w:tc>
      </w:tr>
      <w:tr w:rsidR="00222E71" w:rsidRPr="00EE18A7" w:rsidTr="00A63625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 xml:space="preserve">Unió Europea 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2.931,5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54,7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-191,9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-6,1</w:t>
            </w:r>
          </w:p>
        </w:tc>
        <w:tc>
          <w:tcPr>
            <w:tcW w:w="350" w:type="pct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-6,1</w:t>
            </w:r>
          </w:p>
        </w:tc>
      </w:tr>
      <w:tr w:rsidR="00222E71" w:rsidRPr="00EE18A7" w:rsidTr="00A63625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     Alemanya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849,9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15,8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43,5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5,4</w:t>
            </w:r>
          </w:p>
        </w:tc>
        <w:tc>
          <w:tcPr>
            <w:tcW w:w="350" w:type="pct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5,4</w:t>
            </w:r>
          </w:p>
        </w:tc>
      </w:tr>
      <w:tr w:rsidR="00222E71" w:rsidRPr="00EE18A7" w:rsidTr="00A63625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     França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568,8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10,6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-42,8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-7,0</w:t>
            </w:r>
          </w:p>
        </w:tc>
        <w:tc>
          <w:tcPr>
            <w:tcW w:w="350" w:type="pct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-7,0</w:t>
            </w:r>
          </w:p>
        </w:tc>
      </w:tr>
      <w:tr w:rsidR="00222E71" w:rsidRPr="00EE18A7" w:rsidTr="00A63625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     Itàlia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472,7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8,8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-68,7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-12,7</w:t>
            </w:r>
          </w:p>
        </w:tc>
        <w:tc>
          <w:tcPr>
            <w:tcW w:w="350" w:type="pct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-12,7</w:t>
            </w:r>
          </w:p>
        </w:tc>
      </w:tr>
      <w:tr w:rsidR="00222E71" w:rsidRPr="00EE18A7" w:rsidTr="00A63625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     Regne Unit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155,4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2,9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10,0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6,9</w:t>
            </w:r>
          </w:p>
        </w:tc>
        <w:tc>
          <w:tcPr>
            <w:tcW w:w="350" w:type="pct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6,9</w:t>
            </w:r>
          </w:p>
        </w:tc>
      </w:tr>
      <w:tr w:rsidR="00222E71" w:rsidRPr="00EE18A7" w:rsidTr="00A63625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Resta món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2.431,1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45,3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-245,0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-9,2</w:t>
            </w:r>
          </w:p>
        </w:tc>
        <w:tc>
          <w:tcPr>
            <w:tcW w:w="350" w:type="pct"/>
            <w:shd w:val="clear" w:color="auto" w:fill="FFFFFF"/>
            <w:noWrap/>
            <w:vAlign w:val="center"/>
            <w:hideMark/>
          </w:tcPr>
          <w:p w:rsidR="00222E71" w:rsidRPr="00EE18A7" w:rsidRDefault="00222E71" w:rsidP="00222E7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-9,2</w:t>
            </w:r>
          </w:p>
        </w:tc>
      </w:tr>
      <w:tr w:rsidR="00222E71" w:rsidRPr="00EE18A7" w:rsidTr="00A63625">
        <w:trPr>
          <w:tblCellSpacing w:w="30" w:type="dxa"/>
        </w:trPr>
        <w:tc>
          <w:tcPr>
            <w:tcW w:w="4930" w:type="pct"/>
            <w:gridSpan w:val="6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38"/>
            </w:tblGrid>
            <w:tr w:rsidR="00222E71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246" name="Imagen 246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6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22E71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9525"/>
                        <wp:effectExtent l="19050" t="0" r="0" b="0"/>
                        <wp:docPr id="247" name="Imagen 247" descr="http://www.idescat.cat/images/pix_blau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7" descr="http://www.idescat.cat/images/pix_blau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22E71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248" name="Imagen 248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8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22E71" w:rsidRPr="00EE18A7" w:rsidRDefault="00222E71" w:rsidP="00222E71">
            <w:pPr>
              <w:spacing w:after="0" w:line="240" w:lineRule="auto"/>
              <w:ind w:firstLine="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es-ES" w:bidi="ar-SA"/>
              </w:rPr>
            </w:pPr>
          </w:p>
        </w:tc>
      </w:tr>
      <w:tr w:rsidR="00222E71" w:rsidRPr="00EE18A7" w:rsidTr="00A63625">
        <w:trPr>
          <w:tblCellSpacing w:w="30" w:type="dxa"/>
        </w:trPr>
        <w:tc>
          <w:tcPr>
            <w:tcW w:w="4930" w:type="pct"/>
            <w:gridSpan w:val="6"/>
            <w:shd w:val="clear" w:color="auto" w:fill="FFFFFF"/>
            <w:vAlign w:val="center"/>
            <w:hideMark/>
          </w:tcPr>
          <w:p w:rsidR="006B6D69" w:rsidRPr="00EE18A7" w:rsidRDefault="006B6D69" w:rsidP="00222E71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ES" w:bidi="ar-SA"/>
              </w:rPr>
            </w:pPr>
          </w:p>
          <w:p w:rsidR="006B6D69" w:rsidRPr="00EE18A7" w:rsidRDefault="006B6D69" w:rsidP="00222E71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ES" w:bidi="ar-SA"/>
              </w:rPr>
            </w:pPr>
          </w:p>
          <w:p w:rsidR="00222E71" w:rsidRPr="00EE18A7" w:rsidRDefault="00222E71" w:rsidP="00222E71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1F497D" w:themeColor="text2"/>
                <w:sz w:val="28"/>
                <w:szCs w:val="28"/>
                <w:lang w:eastAsia="es-ES" w:bidi="ar-SA"/>
              </w:rPr>
              <w:t>Espanya.</w:t>
            </w:r>
            <w:r w:rsidRPr="00EE18A7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ES" w:bidi="ar-SA"/>
              </w:rPr>
              <w:t xml:space="preserve"> Gener 2012</w:t>
            </w:r>
          </w:p>
          <w:p w:rsidR="00A63625" w:rsidRPr="00EE18A7" w:rsidRDefault="00A63625" w:rsidP="00A63625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lang w:eastAsia="es-ES" w:bidi="ar-SA"/>
              </w:rPr>
            </w:pPr>
          </w:p>
          <w:tbl>
            <w:tblPr>
              <w:tblW w:w="5000" w:type="pct"/>
              <w:tblCellSpacing w:w="3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1741"/>
              <w:gridCol w:w="2175"/>
              <w:gridCol w:w="1592"/>
              <w:gridCol w:w="1479"/>
              <w:gridCol w:w="1996"/>
              <w:gridCol w:w="655"/>
            </w:tblGrid>
            <w:tr w:rsidR="00222E71" w:rsidRPr="00EE18A7" w:rsidTr="00222E71">
              <w:trPr>
                <w:gridAfter w:val="1"/>
                <w:tblCellSpacing w:w="30" w:type="dxa"/>
              </w:trPr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es-ES" w:bidi="ar-SA"/>
                    </w:rPr>
                    <w:t>Valor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es-ES" w:bidi="ar-SA"/>
                    </w:rPr>
                    <w:t>        % sobre total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es-ES" w:bidi="ar-SA"/>
                    </w:rPr>
                    <w:t>        absoluta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es-ES" w:bidi="ar-SA"/>
                    </w:rPr>
                    <w:t>         % mes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  <w:lang w:eastAsia="es-ES" w:bidi="ar-SA"/>
                    </w:rPr>
                    <w:t>        % acumulat</w:t>
                  </w:r>
                </w:p>
              </w:tc>
            </w:tr>
            <w:tr w:rsidR="00222E71" w:rsidRPr="00EE18A7" w:rsidTr="00222E71">
              <w:trPr>
                <w:tblCellSpacing w:w="30" w:type="dxa"/>
              </w:trPr>
              <w:tc>
                <w:tcPr>
                  <w:tcW w:w="0" w:type="auto"/>
                  <w:gridSpan w:val="6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518"/>
                  </w:tblGrid>
                  <w:tr w:rsidR="00222E71" w:rsidRPr="00EE18A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22E71" w:rsidRPr="00EE18A7" w:rsidRDefault="00222E71" w:rsidP="00222E71">
                        <w:pPr>
                          <w:spacing w:after="0" w:line="240" w:lineRule="auto"/>
                          <w:ind w:firstLine="0"/>
                          <w:rPr>
                            <w:rFonts w:ascii="Verdana" w:eastAsia="Times New Roman" w:hAnsi="Verdana" w:cs="Times New Roman"/>
                            <w:color w:val="000000"/>
                            <w:sz w:val="15"/>
                            <w:szCs w:val="15"/>
                            <w:lang w:eastAsia="es-ES" w:bidi="ar-SA"/>
                          </w:rPr>
                        </w:pPr>
                        <w:r w:rsidRPr="00EE18A7">
                          <w:rPr>
                            <w:rFonts w:ascii="Verdana" w:eastAsia="Times New Roman" w:hAnsi="Verdana" w:cs="Times New Roman"/>
                            <w:color w:val="000000"/>
                            <w:sz w:val="15"/>
                            <w:szCs w:val="15"/>
                            <w:lang w:eastAsia="es-ES" w:bidi="ar-SA"/>
                          </w:rPr>
                          <w:drawing>
                            <wp:inline distT="0" distB="0" distL="0" distR="0">
                              <wp:extent cx="7620000" cy="38100"/>
                              <wp:effectExtent l="0" t="0" r="0" b="0"/>
                              <wp:docPr id="255" name="Imagen 255" descr="http://www.idescat.cat/images/pix_transp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5" descr="http://www.idescat.cat/images/pix_transp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000" cy="381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22E71" w:rsidRPr="00EE18A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22E71" w:rsidRPr="00EE18A7" w:rsidRDefault="00222E71" w:rsidP="00222E71">
                        <w:pPr>
                          <w:spacing w:after="0" w:line="240" w:lineRule="auto"/>
                          <w:ind w:firstLine="0"/>
                          <w:rPr>
                            <w:rFonts w:ascii="Verdana" w:eastAsia="Times New Roman" w:hAnsi="Verdana" w:cs="Times New Roman"/>
                            <w:color w:val="000000"/>
                            <w:sz w:val="15"/>
                            <w:szCs w:val="15"/>
                            <w:lang w:eastAsia="es-ES" w:bidi="ar-SA"/>
                          </w:rPr>
                        </w:pPr>
                        <w:r w:rsidRPr="00EE18A7">
                          <w:rPr>
                            <w:rFonts w:ascii="Verdana" w:eastAsia="Times New Roman" w:hAnsi="Verdana" w:cs="Times New Roman"/>
                            <w:color w:val="000000"/>
                            <w:sz w:val="15"/>
                            <w:szCs w:val="15"/>
                            <w:lang w:eastAsia="es-ES" w:bidi="ar-SA"/>
                          </w:rPr>
                          <w:drawing>
                            <wp:inline distT="0" distB="0" distL="0" distR="0">
                              <wp:extent cx="7620000" cy="9525"/>
                              <wp:effectExtent l="19050" t="0" r="0" b="0"/>
                              <wp:docPr id="256" name="Imagen 256" descr="http://www.idescat.cat/images/pix_blau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6" descr="http://www.idescat.cat/images/pix_blau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00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22E71" w:rsidRPr="00EE18A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22E71" w:rsidRPr="00EE18A7" w:rsidRDefault="00222E71" w:rsidP="00222E71">
                        <w:pPr>
                          <w:spacing w:after="0" w:line="240" w:lineRule="auto"/>
                          <w:ind w:firstLine="0"/>
                          <w:rPr>
                            <w:rFonts w:ascii="Verdana" w:eastAsia="Times New Roman" w:hAnsi="Verdana" w:cs="Times New Roman"/>
                            <w:color w:val="000000"/>
                            <w:sz w:val="15"/>
                            <w:szCs w:val="15"/>
                            <w:lang w:eastAsia="es-ES" w:bidi="ar-SA"/>
                          </w:rPr>
                        </w:pPr>
                        <w:r w:rsidRPr="00EE18A7">
                          <w:rPr>
                            <w:rFonts w:ascii="Verdana" w:eastAsia="Times New Roman" w:hAnsi="Verdana" w:cs="Times New Roman"/>
                            <w:color w:val="000000"/>
                            <w:sz w:val="15"/>
                            <w:szCs w:val="15"/>
                            <w:lang w:eastAsia="es-ES" w:bidi="ar-SA"/>
                          </w:rPr>
                          <w:drawing>
                            <wp:inline distT="0" distB="0" distL="0" distR="0">
                              <wp:extent cx="7620000" cy="38100"/>
                              <wp:effectExtent l="0" t="0" r="0" b="0"/>
                              <wp:docPr id="257" name="Imagen 257" descr="http://www.idescat.cat/images/pix_transp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7" descr="http://www.idescat.cat/images/pix_transp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000" cy="381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222E71" w:rsidRPr="00EE18A7" w:rsidRDefault="00222E71" w:rsidP="00222E71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</w:p>
              </w:tc>
            </w:tr>
            <w:tr w:rsidR="00222E71" w:rsidRPr="00EE18A7" w:rsidTr="00222E71">
              <w:trPr>
                <w:tblCellSpacing w:w="30" w:type="dxa"/>
              </w:trPr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rPr>
                      <w:rFonts w:ascii="Arial" w:eastAsia="Times New Roman" w:hAnsi="Arial" w:cs="Arial"/>
                      <w:b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s-ES" w:bidi="ar-SA"/>
                    </w:rPr>
                    <w:t>Total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   </w:t>
                  </w:r>
                  <w:r w:rsidRPr="00EE18A7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s-ES" w:bidi="ar-SA"/>
                    </w:rPr>
                    <w:t>20.234,4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   </w:t>
                  </w:r>
                  <w:r w:rsidRPr="00EE18A7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s-ES" w:bidi="ar-SA"/>
                    </w:rPr>
                    <w:t>100,0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   </w:t>
                  </w:r>
                  <w:r w:rsidRPr="00EE18A7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s-ES" w:bidi="ar-SA"/>
                    </w:rPr>
                    <w:t>-648,0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   </w:t>
                  </w:r>
                  <w:r w:rsidRPr="00EE18A7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s-ES" w:bidi="ar-SA"/>
                    </w:rPr>
                    <w:t>-3,1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es-ES" w:bidi="ar-SA"/>
                    </w:rPr>
                    <w:t>-3,1</w:t>
                  </w:r>
                </w:p>
              </w:tc>
            </w:tr>
            <w:tr w:rsidR="00222E71" w:rsidRPr="00EE18A7" w:rsidTr="00222E71">
              <w:trPr>
                <w:tblCellSpacing w:w="30" w:type="dxa"/>
              </w:trPr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A63625" w:rsidP="00222E71">
                  <w:pPr>
                    <w:spacing w:after="0" w:line="240" w:lineRule="auto"/>
                    <w:ind w:firstLine="0"/>
                    <w:rPr>
                      <w:rFonts w:ascii="Arial" w:eastAsia="Times New Roman" w:hAnsi="Arial" w:cs="Arial"/>
                      <w:b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b/>
                      <w:color w:val="000000"/>
                      <w:lang w:eastAsia="es-ES" w:bidi="ar-SA"/>
                    </w:rPr>
                    <w:t>Unió Europea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A63625">
                  <w:pPr>
                    <w:spacing w:after="0" w:line="240" w:lineRule="auto"/>
                    <w:ind w:firstLine="0"/>
                    <w:jc w:val="center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   10.049,5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   49,7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   -517,2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   -4,9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-4,9</w:t>
                  </w:r>
                </w:p>
              </w:tc>
            </w:tr>
            <w:tr w:rsidR="00222E71" w:rsidRPr="00EE18A7" w:rsidTr="00222E71">
              <w:trPr>
                <w:tblCellSpacing w:w="30" w:type="dxa"/>
              </w:trPr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rPr>
                      <w:rFonts w:ascii="Arial" w:eastAsia="Times New Roman" w:hAnsi="Arial" w:cs="Arial"/>
                      <w:b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b/>
                      <w:color w:val="000000"/>
                      <w:lang w:eastAsia="es-ES" w:bidi="ar-SA"/>
                    </w:rPr>
                    <w:t>     Alemanya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   2.226,4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   11,0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   59,6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   2,7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2,7</w:t>
                  </w:r>
                </w:p>
              </w:tc>
            </w:tr>
            <w:tr w:rsidR="00222E71" w:rsidRPr="00EE18A7" w:rsidTr="00222E71">
              <w:trPr>
                <w:tblCellSpacing w:w="30" w:type="dxa"/>
              </w:trPr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rPr>
                      <w:rFonts w:ascii="Arial" w:eastAsia="Times New Roman" w:hAnsi="Arial" w:cs="Arial"/>
                      <w:b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b/>
                      <w:color w:val="000000"/>
                      <w:lang w:eastAsia="es-ES" w:bidi="ar-SA"/>
                    </w:rPr>
                    <w:t>     França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   2.247,5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   11,1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   -92,9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   -4,0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-4,0</w:t>
                  </w:r>
                </w:p>
              </w:tc>
            </w:tr>
            <w:tr w:rsidR="00222E71" w:rsidRPr="00EE18A7" w:rsidTr="00222E71">
              <w:trPr>
                <w:tblCellSpacing w:w="30" w:type="dxa"/>
              </w:trPr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rPr>
                      <w:rFonts w:ascii="Arial" w:eastAsia="Times New Roman" w:hAnsi="Arial" w:cs="Arial"/>
                      <w:b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b/>
                      <w:color w:val="000000"/>
                      <w:lang w:eastAsia="es-ES" w:bidi="ar-SA"/>
                    </w:rPr>
                    <w:t>     Itàlia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   1.225,9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   6,1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   -73,1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   -5,6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-5,6</w:t>
                  </w:r>
                </w:p>
              </w:tc>
            </w:tr>
            <w:tr w:rsidR="00222E71" w:rsidRPr="00EE18A7" w:rsidTr="00222E71">
              <w:trPr>
                <w:tblCellSpacing w:w="30" w:type="dxa"/>
              </w:trPr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rPr>
                      <w:rFonts w:ascii="Arial" w:eastAsia="Times New Roman" w:hAnsi="Arial" w:cs="Arial"/>
                      <w:b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b/>
                      <w:color w:val="000000"/>
                      <w:lang w:eastAsia="es-ES" w:bidi="ar-SA"/>
                    </w:rPr>
                    <w:t>     Regne Unit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   721,4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   3,6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   -152,6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   -17,5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-17,5</w:t>
                  </w:r>
                </w:p>
              </w:tc>
            </w:tr>
            <w:tr w:rsidR="00222E71" w:rsidRPr="00EE18A7" w:rsidTr="00222E71">
              <w:trPr>
                <w:tblCellSpacing w:w="30" w:type="dxa"/>
              </w:trPr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rPr>
                      <w:rFonts w:ascii="Arial" w:eastAsia="Times New Roman" w:hAnsi="Arial" w:cs="Arial"/>
                      <w:b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b/>
                      <w:color w:val="000000"/>
                      <w:lang w:eastAsia="es-ES" w:bidi="ar-SA"/>
                    </w:rPr>
                    <w:t>Resta món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   10.184,8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   50,3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   -130,8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   -1,3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vAlign w:val="center"/>
                  <w:hideMark/>
                </w:tcPr>
                <w:p w:rsidR="00222E71" w:rsidRPr="00EE18A7" w:rsidRDefault="00222E71" w:rsidP="00222E71">
                  <w:pPr>
                    <w:spacing w:after="0" w:line="240" w:lineRule="auto"/>
                    <w:ind w:firstLine="0"/>
                    <w:jc w:val="right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t>-1,3</w:t>
                  </w:r>
                </w:p>
              </w:tc>
            </w:tr>
            <w:tr w:rsidR="00222E71" w:rsidRPr="00EE18A7" w:rsidTr="00222E71">
              <w:trPr>
                <w:tblCellSpacing w:w="30" w:type="dxa"/>
              </w:trPr>
              <w:tc>
                <w:tcPr>
                  <w:tcW w:w="0" w:type="auto"/>
                  <w:gridSpan w:val="6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518"/>
                  </w:tblGrid>
                  <w:tr w:rsidR="00222E71" w:rsidRPr="00EE18A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22E71" w:rsidRPr="00EE18A7" w:rsidRDefault="00222E71" w:rsidP="00222E71">
                        <w:pPr>
                          <w:spacing w:after="0" w:line="240" w:lineRule="auto"/>
                          <w:ind w:firstLine="0"/>
                          <w:rPr>
                            <w:rFonts w:ascii="Verdana" w:eastAsia="Times New Roman" w:hAnsi="Verdana" w:cs="Times New Roman"/>
                            <w:color w:val="000000"/>
                            <w:lang w:eastAsia="es-ES" w:bidi="ar-SA"/>
                          </w:rPr>
                        </w:pPr>
                        <w:r w:rsidRPr="00EE18A7">
                          <w:rPr>
                            <w:rFonts w:ascii="Verdana" w:eastAsia="Times New Roman" w:hAnsi="Verdana" w:cs="Times New Roman"/>
                            <w:color w:val="000000"/>
                            <w:lang w:eastAsia="es-ES" w:bidi="ar-SA"/>
                          </w:rPr>
                          <w:drawing>
                            <wp:inline distT="0" distB="0" distL="0" distR="0">
                              <wp:extent cx="7620000" cy="38100"/>
                              <wp:effectExtent l="0" t="0" r="0" b="0"/>
                              <wp:docPr id="258" name="Imagen 258" descr="http://www.idescat.cat/images/pix_transp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8" descr="http://www.idescat.cat/images/pix_transp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000" cy="381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222E71" w:rsidRPr="00EE18A7" w:rsidRDefault="00222E71" w:rsidP="00222E71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lang w:eastAsia="es-ES" w:bidi="ar-SA"/>
                    </w:rPr>
                  </w:pPr>
                </w:p>
              </w:tc>
            </w:tr>
          </w:tbl>
          <w:p w:rsidR="00222E71" w:rsidRPr="00EE18A7" w:rsidRDefault="00222E71" w:rsidP="00222E7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es-ES" w:bidi="ar-SA"/>
              </w:rPr>
            </w:pPr>
          </w:p>
        </w:tc>
      </w:tr>
    </w:tbl>
    <w:p w:rsidR="00A63625" w:rsidRPr="00EE18A7" w:rsidRDefault="00A63625" w:rsidP="00222E71">
      <w:pPr>
        <w:spacing w:line="276" w:lineRule="auto"/>
        <w:ind w:left="360" w:firstLine="0"/>
        <w:jc w:val="both"/>
        <w:rPr>
          <w:rFonts w:ascii="Verdana" w:hAnsi="Verdana"/>
          <w:color w:val="000000"/>
          <w:sz w:val="15"/>
          <w:szCs w:val="15"/>
          <w:shd w:val="clear" w:color="auto" w:fill="FFFFFF"/>
        </w:rPr>
      </w:pPr>
    </w:p>
    <w:p w:rsidR="00DA4BB9" w:rsidRPr="00EE18A7" w:rsidRDefault="00222E71" w:rsidP="00EE18A7">
      <w:pPr>
        <w:spacing w:line="276" w:lineRule="auto"/>
        <w:ind w:firstLine="0"/>
        <w:jc w:val="both"/>
        <w:rPr>
          <w:rFonts w:ascii="Arial" w:hAnsi="Arial" w:cs="Arial"/>
          <w:b/>
          <w:sz w:val="24"/>
          <w:szCs w:val="24"/>
        </w:rPr>
      </w:pPr>
      <w:r w:rsidRPr="00EE18A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Les importacions de Catalunya han registrat una disminució interanual del 7,5% al gener del 2011. Les compres al conjunt de la Unió Europea disminueixen un 6,1%, i </w:t>
      </w:r>
      <w:proofErr w:type="spellStart"/>
      <w:r w:rsidRPr="00EE18A7">
        <w:rPr>
          <w:rFonts w:ascii="Arial" w:hAnsi="Arial" w:cs="Arial"/>
          <w:color w:val="000000"/>
          <w:sz w:val="24"/>
          <w:szCs w:val="24"/>
          <w:shd w:val="clear" w:color="auto" w:fill="FFFFFF"/>
        </w:rPr>
        <w:t>d'entre</w:t>
      </w:r>
      <w:proofErr w:type="spellEnd"/>
      <w:r w:rsidRPr="00EE18A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els principals països s'observen increments del Regne Unit (6,9%) i d'Alemanya (5,4%). Les compres a la resta del món decreixen un 9,2%. A Espanya, les importacions decreixen un 3,1% interanual.</w:t>
      </w:r>
    </w:p>
    <w:p w:rsidR="00950091" w:rsidRPr="00EE18A7" w:rsidRDefault="0060332C" w:rsidP="006144F8">
      <w:pPr>
        <w:spacing w:line="276" w:lineRule="auto"/>
        <w:ind w:firstLine="0"/>
        <w:jc w:val="both"/>
        <w:rPr>
          <w:rFonts w:ascii="Broadway" w:hAnsi="Broadway"/>
          <w:b/>
          <w:sz w:val="28"/>
          <w:szCs w:val="28"/>
        </w:rPr>
      </w:pPr>
      <w:r w:rsidRPr="00EE18A7">
        <w:rPr>
          <w:rFonts w:ascii="Broadway" w:hAnsi="Broadway"/>
          <w:b/>
          <w:sz w:val="28"/>
          <w:szCs w:val="28"/>
        </w:rPr>
        <w:t>Evolució de la taxa d’</w:t>
      </w:r>
      <w:r w:rsidR="006144F8" w:rsidRPr="00EE18A7">
        <w:rPr>
          <w:rFonts w:ascii="Broadway" w:hAnsi="Broadway"/>
          <w:b/>
          <w:sz w:val="28"/>
          <w:szCs w:val="28"/>
        </w:rPr>
        <w:t xml:space="preserve">aturats </w:t>
      </w:r>
    </w:p>
    <w:p w:rsidR="006144F8" w:rsidRPr="00EE18A7" w:rsidRDefault="006144F8" w:rsidP="006144F8">
      <w:pPr>
        <w:spacing w:line="276" w:lineRule="auto"/>
        <w:ind w:firstLine="0"/>
        <w:jc w:val="both"/>
        <w:rPr>
          <w:rFonts w:ascii="Broadway" w:hAnsi="Broadway"/>
          <w:b/>
          <w:sz w:val="28"/>
          <w:szCs w:val="28"/>
        </w:rPr>
      </w:pPr>
      <w:r w:rsidRPr="00EE18A7">
        <w:rPr>
          <w:rFonts w:ascii="Broadway" w:hAnsi="Broadway"/>
          <w:b/>
          <w:sz w:val="28"/>
          <w:szCs w:val="28"/>
        </w:rPr>
        <w:t>*</w:t>
      </w:r>
      <w:r w:rsidRPr="00EE18A7">
        <w:rPr>
          <w:rFonts w:ascii="Arial" w:hAnsi="Arial" w:cs="Arial"/>
          <w:b/>
          <w:color w:val="FF0000"/>
          <w:sz w:val="28"/>
          <w:szCs w:val="28"/>
        </w:rPr>
        <w:t xml:space="preserve">Catalunya </w:t>
      </w:r>
      <w:r w:rsidRPr="00EE18A7">
        <w:rPr>
          <w:rFonts w:ascii="Arial" w:hAnsi="Arial" w:cs="Arial"/>
          <w:b/>
          <w:sz w:val="28"/>
          <w:szCs w:val="28"/>
        </w:rPr>
        <w:t>– 2012</w:t>
      </w:r>
    </w:p>
    <w:tbl>
      <w:tblPr>
        <w:tblW w:w="5000" w:type="pct"/>
        <w:tblCellSpacing w:w="3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157"/>
        <w:gridCol w:w="1874"/>
        <w:gridCol w:w="1743"/>
        <w:gridCol w:w="2352"/>
        <w:gridCol w:w="632"/>
      </w:tblGrid>
      <w:tr w:rsidR="006144F8" w:rsidRPr="00EE18A7" w:rsidTr="006144F8">
        <w:trPr>
          <w:gridAfter w:val="1"/>
          <w:wAfter w:w="285" w:type="pct"/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 w:bidi="ar-SA"/>
              </w:rPr>
              <w:t>   Valor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 w:bidi="ar-SA"/>
              </w:rPr>
              <w:t>        absoluta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 w:bidi="ar-SA"/>
              </w:rPr>
              <w:t>         % mes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 w:bidi="ar-SA"/>
              </w:rPr>
              <w:t>        % acumulat</w:t>
            </w:r>
          </w:p>
        </w:tc>
      </w:tr>
      <w:tr w:rsidR="006144F8" w:rsidRPr="00EE18A7" w:rsidTr="006144F8">
        <w:trPr>
          <w:tblCellSpacing w:w="30" w:type="dxa"/>
        </w:trPr>
        <w:tc>
          <w:tcPr>
            <w:tcW w:w="4939" w:type="pct"/>
            <w:gridSpan w:val="5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38"/>
            </w:tblGrid>
            <w:tr w:rsidR="006144F8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144F8" w:rsidRPr="00EE18A7" w:rsidRDefault="006144F8" w:rsidP="006144F8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263" name="Imagen 263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3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44F8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144F8" w:rsidRPr="00EE18A7" w:rsidRDefault="006144F8" w:rsidP="006144F8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9525"/>
                        <wp:effectExtent l="19050" t="0" r="0" b="0"/>
                        <wp:docPr id="264" name="Imagen 264" descr="http://www.idescat.cat/images/pix_blau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4" descr="http://www.idescat.cat/images/pix_blau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44F8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144F8" w:rsidRPr="00EE18A7" w:rsidRDefault="006144F8" w:rsidP="006144F8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265" name="Imagen 265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5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144F8" w:rsidRPr="00EE18A7" w:rsidRDefault="006144F8" w:rsidP="006144F8">
            <w:pPr>
              <w:spacing w:after="0" w:line="240" w:lineRule="auto"/>
              <w:ind w:firstLine="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es-ES" w:bidi="ar-SA"/>
              </w:rPr>
            </w:pPr>
          </w:p>
        </w:tc>
      </w:tr>
      <w:tr w:rsidR="006144F8" w:rsidRPr="00EE18A7" w:rsidTr="006144F8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</w:t>
            </w: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638,2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</w:t>
            </w: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27,0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</w:t>
            </w: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4,4</w:t>
            </w:r>
          </w:p>
        </w:tc>
        <w:tc>
          <w:tcPr>
            <w:tcW w:w="285" w:type="pct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6,1</w:t>
            </w:r>
          </w:p>
        </w:tc>
      </w:tr>
      <w:tr w:rsidR="006144F8" w:rsidRPr="00EE18A7" w:rsidTr="006144F8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Agricultura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12,4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1,3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11,3</w:t>
            </w:r>
          </w:p>
        </w:tc>
        <w:tc>
          <w:tcPr>
            <w:tcW w:w="285" w:type="pct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13,9</w:t>
            </w:r>
          </w:p>
        </w:tc>
      </w:tr>
      <w:tr w:rsidR="006144F8" w:rsidRPr="00EE18A7" w:rsidTr="006144F8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Indústria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97,3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-1,6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-1,6</w:t>
            </w:r>
          </w:p>
        </w:tc>
        <w:tc>
          <w:tcPr>
            <w:tcW w:w="285" w:type="pct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-1,2</w:t>
            </w:r>
          </w:p>
        </w:tc>
      </w:tr>
      <w:tr w:rsidR="006144F8" w:rsidRPr="00EE18A7" w:rsidTr="006144F8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Construcció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103,9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1,7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1,6</w:t>
            </w:r>
          </w:p>
        </w:tc>
        <w:tc>
          <w:tcPr>
            <w:tcW w:w="285" w:type="pct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2,7</w:t>
            </w:r>
          </w:p>
        </w:tc>
      </w:tr>
      <w:tr w:rsidR="006144F8" w:rsidRPr="00EE18A7" w:rsidTr="006144F8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Serveis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391,5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26,8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7,3</w:t>
            </w:r>
          </w:p>
        </w:tc>
        <w:tc>
          <w:tcPr>
            <w:tcW w:w="285" w:type="pct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9,4</w:t>
            </w:r>
          </w:p>
        </w:tc>
      </w:tr>
      <w:tr w:rsidR="006144F8" w:rsidRPr="00EE18A7" w:rsidTr="006144F8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Sense ocupació anterior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33,2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-1,2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-3,4</w:t>
            </w:r>
          </w:p>
        </w:tc>
        <w:tc>
          <w:tcPr>
            <w:tcW w:w="285" w:type="pct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0,0</w:t>
            </w:r>
          </w:p>
        </w:tc>
      </w:tr>
      <w:tr w:rsidR="006144F8" w:rsidRPr="00EE18A7" w:rsidTr="006144F8">
        <w:trPr>
          <w:tblCellSpacing w:w="30" w:type="dxa"/>
        </w:trPr>
        <w:tc>
          <w:tcPr>
            <w:tcW w:w="4939" w:type="pct"/>
            <w:gridSpan w:val="5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38"/>
            </w:tblGrid>
            <w:tr w:rsidR="006144F8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144F8" w:rsidRPr="00EE18A7" w:rsidRDefault="006144F8" w:rsidP="006144F8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266" name="Imagen 266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6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44F8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144F8" w:rsidRPr="00EE18A7" w:rsidRDefault="006144F8" w:rsidP="006144F8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9525"/>
                        <wp:effectExtent l="19050" t="0" r="0" b="0"/>
                        <wp:docPr id="267" name="Imagen 267" descr="http://www.idescat.cat/images/pix_blau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7" descr="http://www.idescat.cat/images/pix_blau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44F8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144F8" w:rsidRPr="00EE18A7" w:rsidRDefault="006144F8" w:rsidP="006144F8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268" name="Imagen 268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8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144F8" w:rsidRPr="00EE18A7" w:rsidRDefault="006144F8" w:rsidP="006144F8">
            <w:pPr>
              <w:spacing w:after="0" w:line="240" w:lineRule="auto"/>
              <w:ind w:firstLine="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es-ES" w:bidi="ar-SA"/>
              </w:rPr>
            </w:pPr>
          </w:p>
        </w:tc>
      </w:tr>
    </w:tbl>
    <w:p w:rsidR="006144F8" w:rsidRPr="00EE18A7" w:rsidRDefault="00DA4BB9" w:rsidP="00DA4BB9">
      <w:pPr>
        <w:ind w:firstLine="0"/>
        <w:rPr>
          <w:rFonts w:ascii="Arial" w:hAnsi="Arial" w:cs="Arial"/>
          <w:b/>
          <w:sz w:val="28"/>
          <w:szCs w:val="28"/>
        </w:rPr>
      </w:pPr>
      <w:r w:rsidRPr="00EE18A7">
        <w:rPr>
          <w:rFonts w:ascii="Arial" w:hAnsi="Arial" w:cs="Arial"/>
          <w:b/>
          <w:color w:val="1F497D" w:themeColor="text2"/>
          <w:sz w:val="28"/>
          <w:szCs w:val="28"/>
        </w:rPr>
        <w:lastRenderedPageBreak/>
        <w:t>*</w:t>
      </w:r>
      <w:r w:rsidR="006144F8" w:rsidRPr="00EE18A7">
        <w:rPr>
          <w:rFonts w:ascii="Arial" w:hAnsi="Arial" w:cs="Arial"/>
          <w:b/>
          <w:color w:val="1F497D" w:themeColor="text2"/>
          <w:sz w:val="28"/>
          <w:szCs w:val="28"/>
        </w:rPr>
        <w:t xml:space="preserve">Espanya </w:t>
      </w:r>
      <w:r w:rsidR="006144F8" w:rsidRPr="00EE18A7">
        <w:rPr>
          <w:rFonts w:ascii="Arial" w:hAnsi="Arial" w:cs="Arial"/>
          <w:b/>
          <w:sz w:val="28"/>
          <w:szCs w:val="28"/>
        </w:rPr>
        <w:t>– 2012</w:t>
      </w:r>
    </w:p>
    <w:tbl>
      <w:tblPr>
        <w:tblW w:w="5000" w:type="pct"/>
        <w:tblCellSpacing w:w="3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166"/>
        <w:gridCol w:w="1880"/>
        <w:gridCol w:w="1747"/>
        <w:gridCol w:w="2359"/>
        <w:gridCol w:w="606"/>
      </w:tblGrid>
      <w:tr w:rsidR="006144F8" w:rsidRPr="00EE18A7" w:rsidTr="006144F8">
        <w:trPr>
          <w:gridAfter w:val="1"/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 w:bidi="ar-SA"/>
              </w:rPr>
              <w:t>Valor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 w:bidi="ar-SA"/>
              </w:rPr>
              <w:t>        absoluta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 w:bidi="ar-SA"/>
              </w:rPr>
              <w:t>         % mes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es-ES" w:bidi="ar-SA"/>
              </w:rPr>
              <w:t>        % acumulat</w:t>
            </w:r>
          </w:p>
        </w:tc>
      </w:tr>
      <w:tr w:rsidR="006144F8" w:rsidRPr="00EE18A7" w:rsidTr="006144F8">
        <w:trPr>
          <w:tblCellSpacing w:w="3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38"/>
            </w:tblGrid>
            <w:tr w:rsidR="006144F8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144F8" w:rsidRPr="00EE18A7" w:rsidRDefault="006144F8" w:rsidP="006144F8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275" name="Imagen 275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5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44F8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144F8" w:rsidRPr="00EE18A7" w:rsidRDefault="006144F8" w:rsidP="006144F8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9525"/>
                        <wp:effectExtent l="19050" t="0" r="0" b="0"/>
                        <wp:docPr id="276" name="Imagen 276" descr="http://www.idescat.cat/images/pix_blau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6" descr="http://www.idescat.cat/images/pix_blau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44F8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144F8" w:rsidRPr="00EE18A7" w:rsidRDefault="006144F8" w:rsidP="006144F8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277" name="Imagen 277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7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144F8" w:rsidRPr="00EE18A7" w:rsidRDefault="006144F8" w:rsidP="006144F8">
            <w:pPr>
              <w:spacing w:after="0" w:line="240" w:lineRule="auto"/>
              <w:ind w:firstLine="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es-ES" w:bidi="ar-SA"/>
              </w:rPr>
            </w:pPr>
          </w:p>
        </w:tc>
      </w:tr>
      <w:tr w:rsidR="006144F8" w:rsidRPr="00EE18A7" w:rsidTr="006144F8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</w:t>
            </w: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4.750,9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</w:t>
            </w: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417,2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</w:t>
            </w: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9,6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9,3</w:t>
            </w:r>
          </w:p>
        </w:tc>
      </w:tr>
      <w:tr w:rsidR="006144F8" w:rsidRPr="00EE18A7" w:rsidTr="006144F8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Agricultura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168,3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24,9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17,4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18,0</w:t>
            </w:r>
          </w:p>
        </w:tc>
      </w:tr>
      <w:tr w:rsidR="006144F8" w:rsidRPr="00EE18A7" w:rsidTr="006144F8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Indústria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539,8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34,7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6,9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6,0</w:t>
            </w:r>
          </w:p>
        </w:tc>
      </w:tr>
      <w:tr w:rsidR="006144F8" w:rsidRPr="00EE18A7" w:rsidTr="006144F8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Construcció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810,4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47,8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6,3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5,6</w:t>
            </w:r>
          </w:p>
        </w:tc>
      </w:tr>
      <w:tr w:rsidR="006144F8" w:rsidRPr="00EE18A7" w:rsidTr="006144F8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Serveis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2.819,4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288,0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11,4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11,2</w:t>
            </w:r>
          </w:p>
        </w:tc>
      </w:tr>
      <w:tr w:rsidR="006144F8" w:rsidRPr="00EE18A7" w:rsidTr="006144F8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color w:val="000000"/>
                <w:lang w:eastAsia="es-ES" w:bidi="ar-SA"/>
              </w:rPr>
              <w:t>Sense ocupació anterior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412,9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21,8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5,6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144F8" w:rsidRPr="00EE18A7" w:rsidRDefault="006144F8" w:rsidP="006144F8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5,4</w:t>
            </w:r>
          </w:p>
        </w:tc>
      </w:tr>
      <w:tr w:rsidR="006144F8" w:rsidRPr="00EE18A7" w:rsidTr="006144F8">
        <w:trPr>
          <w:tblCellSpacing w:w="3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38"/>
            </w:tblGrid>
            <w:tr w:rsidR="006144F8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144F8" w:rsidRPr="00EE18A7" w:rsidRDefault="006144F8" w:rsidP="006144F8">
                  <w:pPr>
                    <w:spacing w:after="0" w:line="240" w:lineRule="auto"/>
                    <w:ind w:firstLine="0"/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278" name="Imagen 278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8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144F8" w:rsidRPr="00EE18A7" w:rsidRDefault="006144F8" w:rsidP="006144F8">
            <w:pPr>
              <w:spacing w:after="0" w:line="240" w:lineRule="auto"/>
              <w:ind w:firstLine="0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es-ES" w:bidi="ar-SA"/>
              </w:rPr>
            </w:pPr>
          </w:p>
        </w:tc>
      </w:tr>
    </w:tbl>
    <w:p w:rsidR="00DA4BB9" w:rsidRPr="00EE18A7" w:rsidRDefault="00DA4BB9" w:rsidP="00EE18A7">
      <w:pPr>
        <w:spacing w:line="276" w:lineRule="auto"/>
        <w:ind w:firstLine="0"/>
        <w:jc w:val="both"/>
        <w:rPr>
          <w:b/>
        </w:rPr>
      </w:pPr>
    </w:p>
    <w:p w:rsidR="008413B1" w:rsidRPr="00EE18A7" w:rsidRDefault="006144F8" w:rsidP="00EE18A7">
      <w:pPr>
        <w:spacing w:line="276" w:lineRule="auto"/>
        <w:ind w:firstLine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EE18A7">
        <w:rPr>
          <w:rFonts w:ascii="Arial" w:hAnsi="Arial" w:cs="Arial"/>
          <w:color w:val="000000"/>
          <w:sz w:val="24"/>
          <w:szCs w:val="24"/>
          <w:shd w:val="clear" w:color="auto" w:fill="FFFFFF"/>
        </w:rPr>
        <w:t>El nombre d'aturats inscrits a les oficines d'ocupació de Catalunya ha estat de 638,2 milers de persones, al març del 2012, un 4,4% més que al mateix mes de l'any anterior. El sector serveis, que aplega el major nombre dels aturats, creix un 7,3%; la construcció s'incrementa un 1,6% i l'agricultura un 11,3%. En canvi, la indústria i el col·lectiu sense ocupació anterior, mostra una variació interanual negativa (-1,6% i -3,4% respectivament). A Espanya, el nombre d'aturats inscrits ha estat de 4.750,9 milers de persones, un 9,6%</w:t>
      </w:r>
      <w:r w:rsidR="006B6D69" w:rsidRPr="00EE18A7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EF38A5" w:rsidRPr="00EE18A7" w:rsidRDefault="006B6D69" w:rsidP="005B6766">
      <w:pPr>
        <w:ind w:firstLine="0"/>
        <w:rPr>
          <w:rFonts w:ascii="Broadway" w:hAnsi="Broadway"/>
          <w:b/>
          <w:sz w:val="28"/>
          <w:szCs w:val="28"/>
        </w:rPr>
      </w:pPr>
      <w:r w:rsidRPr="00EE18A7">
        <w:rPr>
          <w:rFonts w:ascii="Broadway" w:hAnsi="Broadway"/>
          <w:b/>
          <w:sz w:val="28"/>
          <w:szCs w:val="28"/>
        </w:rPr>
        <w:t>Salari brut anual per sexe i tipus de jornada</w:t>
      </w:r>
    </w:p>
    <w:p w:rsidR="006B6D69" w:rsidRPr="00EE18A7" w:rsidRDefault="006B6D69" w:rsidP="005B6766">
      <w:pPr>
        <w:ind w:firstLine="0"/>
        <w:rPr>
          <w:rFonts w:ascii="Arial" w:hAnsi="Arial" w:cs="Arial"/>
          <w:b/>
          <w:sz w:val="28"/>
          <w:szCs w:val="28"/>
        </w:rPr>
      </w:pPr>
      <w:r w:rsidRPr="00EE18A7">
        <w:rPr>
          <w:rFonts w:ascii="Arial" w:hAnsi="Arial" w:cs="Arial"/>
          <w:b/>
        </w:rPr>
        <w:t>*</w:t>
      </w:r>
      <w:r w:rsidRPr="00EE18A7">
        <w:rPr>
          <w:rFonts w:ascii="Arial" w:hAnsi="Arial" w:cs="Arial"/>
          <w:b/>
          <w:color w:val="FF0000"/>
          <w:sz w:val="28"/>
          <w:szCs w:val="28"/>
        </w:rPr>
        <w:t>Catalunya</w:t>
      </w:r>
      <w:r w:rsidRPr="00EE18A7">
        <w:rPr>
          <w:rFonts w:ascii="Arial" w:hAnsi="Arial" w:cs="Arial"/>
          <w:b/>
          <w:sz w:val="28"/>
          <w:szCs w:val="28"/>
        </w:rPr>
        <w:t>- 2009</w:t>
      </w:r>
    </w:p>
    <w:tbl>
      <w:tblPr>
        <w:tblW w:w="5000" w:type="pct"/>
        <w:tblCellSpacing w:w="3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71"/>
        <w:gridCol w:w="2261"/>
        <w:gridCol w:w="2260"/>
        <w:gridCol w:w="2260"/>
        <w:gridCol w:w="547"/>
        <w:gridCol w:w="458"/>
        <w:gridCol w:w="101"/>
      </w:tblGrid>
      <w:tr w:rsidR="006B6D69" w:rsidRPr="00EE18A7" w:rsidTr="006B6D69">
        <w:trPr>
          <w:gridAfter w:val="1"/>
          <w:wAfter w:w="6" w:type="pct"/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B6D69" w:rsidRPr="00EE18A7" w:rsidRDefault="006B6D69" w:rsidP="006B6D69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 w:bidi="ar-SA"/>
              </w:rPr>
              <w:t> Homes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B6D69" w:rsidRPr="00EE18A7" w:rsidRDefault="006B6D69" w:rsidP="006B6D69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 w:bidi="ar-SA"/>
              </w:rPr>
              <w:t>        Dones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B6D69" w:rsidRPr="00EE18A7" w:rsidRDefault="006B6D69" w:rsidP="006B6D69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 w:bidi="ar-SA"/>
              </w:rPr>
              <w:t>        Total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B6D69" w:rsidRPr="00EE18A7" w:rsidRDefault="006B6D69" w:rsidP="006B6D69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bCs/>
                <w:color w:val="000000"/>
                <w:sz w:val="15"/>
                <w:lang w:eastAsia="es-ES" w:bidi="ar-SA"/>
              </w:rPr>
              <w:t>        </w:t>
            </w:r>
          </w:p>
        </w:tc>
        <w:tc>
          <w:tcPr>
            <w:tcW w:w="259" w:type="pct"/>
            <w:shd w:val="clear" w:color="auto" w:fill="FFFFFF"/>
            <w:noWrap/>
            <w:vAlign w:val="center"/>
            <w:hideMark/>
          </w:tcPr>
          <w:p w:rsidR="006B6D69" w:rsidRPr="00EE18A7" w:rsidRDefault="006B6D69" w:rsidP="006B6D69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bCs/>
                <w:color w:val="000000"/>
                <w:sz w:val="15"/>
                <w:lang w:eastAsia="es-ES" w:bidi="ar-SA"/>
              </w:rPr>
              <w:t>        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B6D69" w:rsidRPr="00EE18A7" w:rsidRDefault="006B6D69" w:rsidP="006B6D69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es-ES" w:bidi="ar-SA"/>
              </w:rPr>
            </w:pPr>
          </w:p>
        </w:tc>
      </w:tr>
      <w:tr w:rsidR="006B6D69" w:rsidRPr="00EE18A7" w:rsidTr="006B6D69">
        <w:trPr>
          <w:tblCellSpacing w:w="30" w:type="dxa"/>
        </w:trPr>
        <w:tc>
          <w:tcPr>
            <w:tcW w:w="4939" w:type="pct"/>
            <w:gridSpan w:val="7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38"/>
            </w:tblGrid>
            <w:tr w:rsidR="006B6D69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B6D69" w:rsidRPr="00EE18A7" w:rsidRDefault="006B6D69" w:rsidP="006B6D69">
                  <w:pPr>
                    <w:spacing w:after="0" w:line="240" w:lineRule="auto"/>
                    <w:ind w:firstLine="0"/>
                    <w:rPr>
                      <w:rFonts w:ascii="Arial" w:eastAsia="Times New Roman" w:hAnsi="Arial" w:cs="Arial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6" name="Imagen 1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B6D69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B6D69" w:rsidRPr="00EE18A7" w:rsidRDefault="006B6D69" w:rsidP="006B6D69">
                  <w:pPr>
                    <w:spacing w:after="0" w:line="240" w:lineRule="auto"/>
                    <w:ind w:firstLine="0"/>
                    <w:rPr>
                      <w:rFonts w:ascii="Arial" w:eastAsia="Times New Roman" w:hAnsi="Arial" w:cs="Arial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9525"/>
                        <wp:effectExtent l="19050" t="0" r="0" b="0"/>
                        <wp:docPr id="4" name="Imagen 2" descr="http://www.idescat.cat/images/pix_blau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idescat.cat/images/pix_blau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B6D69" w:rsidRPr="00EE18A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B6D69" w:rsidRPr="00EE18A7" w:rsidRDefault="006B6D69" w:rsidP="006B6D69">
                  <w:pPr>
                    <w:spacing w:after="0" w:line="240" w:lineRule="auto"/>
                    <w:ind w:firstLine="0"/>
                    <w:rPr>
                      <w:rFonts w:ascii="Arial" w:eastAsia="Times New Roman" w:hAnsi="Arial" w:cs="Arial"/>
                      <w:color w:val="000000"/>
                      <w:sz w:val="15"/>
                      <w:szCs w:val="15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sz w:val="15"/>
                      <w:szCs w:val="15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1" name="Imagen 3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B6D69" w:rsidRPr="00EE18A7" w:rsidRDefault="006B6D69" w:rsidP="006B6D69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sz w:val="15"/>
                <w:szCs w:val="15"/>
                <w:lang w:eastAsia="es-ES" w:bidi="ar-SA"/>
              </w:rPr>
            </w:pPr>
          </w:p>
        </w:tc>
      </w:tr>
      <w:tr w:rsidR="006B6D69" w:rsidRPr="00EE18A7" w:rsidTr="006B6D69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B6D69" w:rsidRPr="00EE18A7" w:rsidRDefault="006B6D69" w:rsidP="006B6D69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B6D69" w:rsidRPr="00EE18A7" w:rsidRDefault="006B6D69" w:rsidP="006B6D69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</w:t>
            </w: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26.901,30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B6D69" w:rsidRPr="00EE18A7" w:rsidRDefault="006B6D69" w:rsidP="006B6D69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</w:t>
            </w: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20.467,14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B6D69" w:rsidRPr="00EE18A7" w:rsidRDefault="006B6D69" w:rsidP="006B6D69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</w:t>
            </w: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23.851,31</w:t>
            </w:r>
          </w:p>
        </w:tc>
        <w:tc>
          <w:tcPr>
            <w:tcW w:w="259" w:type="pct"/>
            <w:shd w:val="clear" w:color="auto" w:fill="FFFFFF"/>
            <w:noWrap/>
            <w:vAlign w:val="center"/>
            <w:hideMark/>
          </w:tcPr>
          <w:p w:rsidR="006B6D69" w:rsidRPr="00EE18A7" w:rsidRDefault="006B6D69" w:rsidP="006B6D69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B6D69" w:rsidRPr="00EE18A7" w:rsidRDefault="006B6D69" w:rsidP="006B6D69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 w:bidi="ar-SA"/>
              </w:rPr>
              <w:t>   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B6D69" w:rsidRPr="00EE18A7" w:rsidRDefault="006B6D69" w:rsidP="006B6D69">
            <w:pPr>
              <w:spacing w:after="0" w:line="240" w:lineRule="auto"/>
              <w:ind w:firstLine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 w:bidi="ar-SA"/>
              </w:rPr>
            </w:pPr>
          </w:p>
        </w:tc>
      </w:tr>
      <w:tr w:rsidR="006B6D69" w:rsidRPr="00EE18A7" w:rsidTr="006B6D69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B6D69" w:rsidRPr="00EE18A7" w:rsidRDefault="006B6D69" w:rsidP="006B6D69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Completa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B6D69" w:rsidRPr="00EE18A7" w:rsidRDefault="006B6D69" w:rsidP="006B6D69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28.673,78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B6D69" w:rsidRPr="00EE18A7" w:rsidRDefault="006B6D69" w:rsidP="006B6D69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23.507,18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B6D69" w:rsidRPr="00EE18A7" w:rsidRDefault="006B6D69" w:rsidP="006B6D69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26.451,94</w:t>
            </w:r>
          </w:p>
        </w:tc>
        <w:tc>
          <w:tcPr>
            <w:tcW w:w="259" w:type="pct"/>
            <w:shd w:val="clear" w:color="auto" w:fill="FFFFFF"/>
            <w:noWrap/>
            <w:vAlign w:val="center"/>
            <w:hideMark/>
          </w:tcPr>
          <w:p w:rsidR="006B6D69" w:rsidRPr="00EE18A7" w:rsidRDefault="006B6D69" w:rsidP="006B6D69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B6D69" w:rsidRPr="00EE18A7" w:rsidRDefault="006B6D69" w:rsidP="006B6D69">
            <w:pPr>
              <w:spacing w:after="0" w:line="240" w:lineRule="auto"/>
              <w:ind w:firstLine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 w:bidi="ar-SA"/>
              </w:rPr>
              <w:t> 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B6D69" w:rsidRPr="00EE18A7" w:rsidRDefault="006B6D69" w:rsidP="006B6D69">
            <w:pPr>
              <w:spacing w:after="0" w:line="240" w:lineRule="auto"/>
              <w:ind w:firstLine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 w:bidi="ar-SA"/>
              </w:rPr>
            </w:pPr>
          </w:p>
        </w:tc>
      </w:tr>
      <w:tr w:rsidR="006B6D69" w:rsidRPr="00EE18A7" w:rsidTr="006B6D69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B6D69" w:rsidRPr="00EE18A7" w:rsidRDefault="006B6D69" w:rsidP="006B6D69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Parcial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B6D69" w:rsidRPr="00EE18A7" w:rsidRDefault="006B6D69" w:rsidP="006B6D69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12.208,49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B6D69" w:rsidRPr="00EE18A7" w:rsidRDefault="006B6D69" w:rsidP="006B6D69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11.488,65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B6D69" w:rsidRPr="00EE18A7" w:rsidRDefault="006B6D69" w:rsidP="006B6D69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 11.719,54</w:t>
            </w:r>
          </w:p>
        </w:tc>
        <w:tc>
          <w:tcPr>
            <w:tcW w:w="259" w:type="pct"/>
            <w:shd w:val="clear" w:color="auto" w:fill="FFFFFF"/>
            <w:noWrap/>
            <w:vAlign w:val="center"/>
            <w:hideMark/>
          </w:tcPr>
          <w:p w:rsidR="006B6D69" w:rsidRPr="00EE18A7" w:rsidRDefault="006B6D69" w:rsidP="006B6D69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B6D69" w:rsidRPr="00EE18A7" w:rsidRDefault="006B6D69" w:rsidP="006B6D69">
            <w:pPr>
              <w:spacing w:after="0" w:line="240" w:lineRule="auto"/>
              <w:ind w:firstLine="0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 w:bidi="ar-SA"/>
              </w:rPr>
            </w:pPr>
            <w:r w:rsidRPr="00EE18A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 w:bidi="ar-SA"/>
              </w:rPr>
              <w:t>   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6B6D69" w:rsidRPr="00EE18A7" w:rsidRDefault="006B6D69" w:rsidP="006B6D69">
            <w:pPr>
              <w:spacing w:after="0" w:line="240" w:lineRule="auto"/>
              <w:ind w:firstLine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ES" w:bidi="ar-SA"/>
              </w:rPr>
            </w:pPr>
          </w:p>
        </w:tc>
      </w:tr>
    </w:tbl>
    <w:p w:rsidR="006B6D69" w:rsidRPr="00EE18A7" w:rsidRDefault="006B6D69" w:rsidP="005B6766">
      <w:pPr>
        <w:ind w:firstLine="0"/>
        <w:rPr>
          <w:rFonts w:ascii="Arial" w:hAnsi="Arial" w:cs="Arial"/>
          <w:b/>
          <w:sz w:val="20"/>
          <w:szCs w:val="20"/>
        </w:rPr>
      </w:pPr>
    </w:p>
    <w:p w:rsidR="006B6D69" w:rsidRPr="00EE18A7" w:rsidRDefault="006B6D69" w:rsidP="005B6766">
      <w:pPr>
        <w:ind w:firstLine="0"/>
        <w:rPr>
          <w:rFonts w:ascii="Arial" w:hAnsi="Arial" w:cs="Arial"/>
          <w:b/>
          <w:sz w:val="20"/>
          <w:szCs w:val="20"/>
        </w:rPr>
      </w:pPr>
      <w:r w:rsidRPr="00EE18A7">
        <w:rPr>
          <w:rFonts w:ascii="Arial" w:hAnsi="Arial" w:cs="Arial"/>
          <w:b/>
          <w:sz w:val="20"/>
          <w:szCs w:val="20"/>
        </w:rPr>
        <w:drawing>
          <wp:inline distT="0" distB="0" distL="0" distR="0">
            <wp:extent cx="4438650" cy="2752725"/>
            <wp:effectExtent l="19050" t="0" r="0" b="0"/>
            <wp:docPr id="10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6B6D69" w:rsidRPr="00EE18A7" w:rsidRDefault="006B6D69" w:rsidP="00EE18A7">
      <w:pPr>
        <w:spacing w:line="276" w:lineRule="auto"/>
        <w:ind w:firstLine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EE18A7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 xml:space="preserve">L'any 2009, el salari brut anual a Catalunya va créixer un 2% respecte al 2008. Per tipus de jornada i sexe, </w:t>
      </w:r>
      <w:proofErr w:type="spellStart"/>
      <w:r w:rsidRPr="00EE18A7">
        <w:rPr>
          <w:rFonts w:ascii="Arial" w:hAnsi="Arial" w:cs="Arial"/>
          <w:color w:val="000000"/>
          <w:sz w:val="24"/>
          <w:szCs w:val="24"/>
          <w:shd w:val="clear" w:color="auto" w:fill="FFFFFF"/>
        </w:rPr>
        <w:t>l'increment</w:t>
      </w:r>
      <w:proofErr w:type="spellEnd"/>
      <w:r w:rsidRPr="00EE18A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interanual més alt es va registrar en la jornada parcial tant en dones (7,1%) com en homes (2%)</w:t>
      </w:r>
    </w:p>
    <w:p w:rsidR="006B6D69" w:rsidRPr="00EE18A7" w:rsidRDefault="006B6D69" w:rsidP="006B6D69">
      <w:pPr>
        <w:spacing w:line="276" w:lineRule="auto"/>
        <w:ind w:firstLine="0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 w:rsidRPr="00EE18A7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*</w:t>
      </w:r>
      <w:r w:rsidRPr="00EE18A7">
        <w:rPr>
          <w:rFonts w:ascii="Arial" w:hAnsi="Arial" w:cs="Arial"/>
          <w:b/>
          <w:color w:val="1F497D" w:themeColor="text2"/>
          <w:sz w:val="28"/>
          <w:szCs w:val="28"/>
          <w:shd w:val="clear" w:color="auto" w:fill="FFFFFF"/>
        </w:rPr>
        <w:t>Espanya</w:t>
      </w:r>
      <w:r w:rsidRPr="00EE18A7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-2009</w:t>
      </w:r>
    </w:p>
    <w:tbl>
      <w:tblPr>
        <w:tblW w:w="4231" w:type="pct"/>
        <w:tblCellSpacing w:w="3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48"/>
        <w:gridCol w:w="2724"/>
        <w:gridCol w:w="1496"/>
        <w:gridCol w:w="1266"/>
        <w:gridCol w:w="464"/>
        <w:gridCol w:w="362"/>
        <w:gridCol w:w="819"/>
        <w:gridCol w:w="218"/>
        <w:gridCol w:w="64"/>
        <w:gridCol w:w="97"/>
      </w:tblGrid>
      <w:tr w:rsidR="008413B1" w:rsidRPr="00EE18A7" w:rsidTr="008413B1">
        <w:trPr>
          <w:gridAfter w:val="2"/>
          <w:wAfter w:w="42" w:type="pct"/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8413B1" w:rsidRPr="008413B1" w:rsidRDefault="008413B1" w:rsidP="008413B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 Homes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8413B1" w:rsidRPr="008413B1" w:rsidRDefault="008413B1" w:rsidP="008413B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        Dones</w:t>
            </w:r>
          </w:p>
        </w:tc>
        <w:tc>
          <w:tcPr>
            <w:tcW w:w="778" w:type="pct"/>
            <w:shd w:val="clear" w:color="auto" w:fill="FFFFFF"/>
            <w:noWrap/>
            <w:vAlign w:val="center"/>
            <w:hideMark/>
          </w:tcPr>
          <w:p w:rsidR="008413B1" w:rsidRPr="008413B1" w:rsidRDefault="008413B1" w:rsidP="008413B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        Total</w:t>
            </w:r>
          </w:p>
        </w:tc>
        <w:tc>
          <w:tcPr>
            <w:tcW w:w="653" w:type="pct"/>
            <w:shd w:val="clear" w:color="auto" w:fill="FFFFFF"/>
            <w:noWrap/>
            <w:vAlign w:val="center"/>
            <w:hideMark/>
          </w:tcPr>
          <w:p w:rsidR="008413B1" w:rsidRPr="008413B1" w:rsidRDefault="008413B1" w:rsidP="008413B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</w:p>
        </w:tc>
        <w:tc>
          <w:tcPr>
            <w:tcW w:w="383" w:type="pct"/>
            <w:gridSpan w:val="2"/>
            <w:shd w:val="clear" w:color="auto" w:fill="FFFFFF"/>
            <w:noWrap/>
            <w:vAlign w:val="center"/>
            <w:hideMark/>
          </w:tcPr>
          <w:p w:rsidR="008413B1" w:rsidRPr="008413B1" w:rsidRDefault="008413B1" w:rsidP="008413B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</w:p>
        </w:tc>
        <w:tc>
          <w:tcPr>
            <w:tcW w:w="0" w:type="auto"/>
            <w:gridSpan w:val="2"/>
            <w:shd w:val="clear" w:color="auto" w:fill="FFFFFF"/>
            <w:noWrap/>
            <w:vAlign w:val="center"/>
            <w:hideMark/>
          </w:tcPr>
          <w:p w:rsidR="008413B1" w:rsidRPr="008413B1" w:rsidRDefault="008413B1" w:rsidP="008413B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        </w:t>
            </w:r>
          </w:p>
        </w:tc>
      </w:tr>
      <w:tr w:rsidR="008413B1" w:rsidRPr="008413B1" w:rsidTr="008413B1">
        <w:trPr>
          <w:tblCellSpacing w:w="30" w:type="dxa"/>
        </w:trPr>
        <w:tc>
          <w:tcPr>
            <w:tcW w:w="4927" w:type="pct"/>
            <w:gridSpan w:val="10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38"/>
            </w:tblGrid>
            <w:tr w:rsidR="008413B1" w:rsidRPr="008413B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413B1" w:rsidRPr="008413B1" w:rsidRDefault="008413B1" w:rsidP="008413B1">
                  <w:pPr>
                    <w:spacing w:after="0" w:line="240" w:lineRule="auto"/>
                    <w:ind w:firstLine="0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19" name="Imagen 7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413B1" w:rsidRPr="008413B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413B1" w:rsidRPr="008413B1" w:rsidRDefault="008413B1" w:rsidP="008413B1">
                  <w:pPr>
                    <w:spacing w:after="0" w:line="240" w:lineRule="auto"/>
                    <w:ind w:firstLine="0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drawing>
                      <wp:inline distT="0" distB="0" distL="0" distR="0">
                        <wp:extent cx="7620000" cy="9525"/>
                        <wp:effectExtent l="19050" t="0" r="0" b="0"/>
                        <wp:docPr id="12" name="Imagen 8" descr="http://www.idescat.cat/images/pix_blau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idescat.cat/images/pix_blau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413B1" w:rsidRPr="008413B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413B1" w:rsidRPr="008413B1" w:rsidRDefault="008413B1" w:rsidP="008413B1">
                  <w:pPr>
                    <w:spacing w:after="0" w:line="240" w:lineRule="auto"/>
                    <w:ind w:firstLine="0"/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</w:pPr>
                  <w:r w:rsidRPr="00EE18A7">
                    <w:rPr>
                      <w:rFonts w:ascii="Arial" w:eastAsia="Times New Roman" w:hAnsi="Arial" w:cs="Arial"/>
                      <w:color w:val="000000"/>
                      <w:lang w:eastAsia="es-ES" w:bidi="ar-SA"/>
                    </w:rPr>
                    <w:drawing>
                      <wp:inline distT="0" distB="0" distL="0" distR="0">
                        <wp:extent cx="7620000" cy="38100"/>
                        <wp:effectExtent l="0" t="0" r="0" b="0"/>
                        <wp:docPr id="11" name="Imagen 9" descr="http://www.idescat.cat/images/pix_trans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www.idescat.cat/images/pix_trans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413B1" w:rsidRPr="008413B1" w:rsidRDefault="008413B1" w:rsidP="008413B1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</w:p>
        </w:tc>
      </w:tr>
      <w:tr w:rsidR="008413B1" w:rsidRPr="00EE18A7" w:rsidTr="008413B1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8413B1" w:rsidRPr="008413B1" w:rsidRDefault="008413B1" w:rsidP="008413B1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8413B1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Total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8413B1" w:rsidRPr="008413B1" w:rsidRDefault="008413B1" w:rsidP="008413B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8413B1">
              <w:rPr>
                <w:rFonts w:ascii="Arial" w:eastAsia="Times New Roman" w:hAnsi="Arial" w:cs="Arial"/>
                <w:color w:val="000000"/>
                <w:lang w:eastAsia="es-ES" w:bidi="ar-SA"/>
              </w:rPr>
              <w:t>   </w:t>
            </w:r>
            <w:r w:rsidRPr="008413B1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25.001,05</w:t>
            </w:r>
          </w:p>
        </w:tc>
        <w:tc>
          <w:tcPr>
            <w:tcW w:w="778" w:type="pct"/>
            <w:shd w:val="clear" w:color="auto" w:fill="FFFFFF"/>
            <w:noWrap/>
            <w:vAlign w:val="center"/>
            <w:hideMark/>
          </w:tcPr>
          <w:p w:rsidR="008413B1" w:rsidRPr="008413B1" w:rsidRDefault="008413B1" w:rsidP="008413B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8413B1">
              <w:rPr>
                <w:rFonts w:ascii="Arial" w:eastAsia="Times New Roman" w:hAnsi="Arial" w:cs="Arial"/>
                <w:color w:val="000000"/>
                <w:lang w:eastAsia="es-ES" w:bidi="ar-SA"/>
              </w:rPr>
              <w:t>   </w:t>
            </w:r>
            <w:r w:rsidRPr="008413B1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19.502,02</w:t>
            </w:r>
          </w:p>
        </w:tc>
        <w:tc>
          <w:tcPr>
            <w:tcW w:w="653" w:type="pct"/>
            <w:shd w:val="clear" w:color="auto" w:fill="FFFFFF"/>
            <w:noWrap/>
            <w:vAlign w:val="center"/>
            <w:hideMark/>
          </w:tcPr>
          <w:p w:rsidR="008413B1" w:rsidRPr="008413B1" w:rsidRDefault="008413B1" w:rsidP="008413B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8413B1">
              <w:rPr>
                <w:rFonts w:ascii="Arial" w:eastAsia="Times New Roman" w:hAnsi="Arial" w:cs="Arial"/>
                <w:color w:val="000000"/>
                <w:lang w:eastAsia="es-ES" w:bidi="ar-SA"/>
              </w:rPr>
              <w:t>   </w:t>
            </w:r>
            <w:r w:rsidRPr="008413B1">
              <w:rPr>
                <w:rFonts w:ascii="Arial" w:eastAsia="Times New Roman" w:hAnsi="Arial" w:cs="Arial"/>
                <w:b/>
                <w:bCs/>
                <w:color w:val="000000"/>
                <w:lang w:eastAsia="es-ES" w:bidi="ar-SA"/>
              </w:rPr>
              <w:t>22.511,47</w:t>
            </w:r>
          </w:p>
        </w:tc>
        <w:tc>
          <w:tcPr>
            <w:tcW w:w="219" w:type="pct"/>
            <w:shd w:val="clear" w:color="auto" w:fill="FFFFFF"/>
            <w:noWrap/>
            <w:vAlign w:val="center"/>
            <w:hideMark/>
          </w:tcPr>
          <w:p w:rsidR="008413B1" w:rsidRPr="008413B1" w:rsidRDefault="008413B1" w:rsidP="008413B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8413B1">
              <w:rPr>
                <w:rFonts w:ascii="Arial" w:eastAsia="Times New Roman" w:hAnsi="Arial" w:cs="Arial"/>
                <w:color w:val="000000"/>
                <w:lang w:eastAsia="es-ES" w:bidi="ar-SA"/>
              </w:rPr>
              <w:t>  </w:t>
            </w:r>
          </w:p>
        </w:tc>
        <w:tc>
          <w:tcPr>
            <w:tcW w:w="661" w:type="pct"/>
            <w:gridSpan w:val="3"/>
            <w:shd w:val="clear" w:color="auto" w:fill="FFFFFF"/>
            <w:noWrap/>
            <w:vAlign w:val="center"/>
            <w:hideMark/>
          </w:tcPr>
          <w:p w:rsidR="008413B1" w:rsidRPr="008413B1" w:rsidRDefault="008413B1" w:rsidP="008413B1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8413B1">
              <w:rPr>
                <w:rFonts w:ascii="Arial" w:eastAsia="Times New Roman" w:hAnsi="Arial" w:cs="Arial"/>
                <w:color w:val="000000"/>
                <w:lang w:eastAsia="es-ES" w:bidi="ar-SA"/>
              </w:rPr>
              <w:t>   </w:t>
            </w:r>
          </w:p>
        </w:tc>
        <w:tc>
          <w:tcPr>
            <w:tcW w:w="0" w:type="auto"/>
            <w:gridSpan w:val="2"/>
            <w:shd w:val="clear" w:color="auto" w:fill="FFFFFF"/>
            <w:noWrap/>
            <w:vAlign w:val="center"/>
            <w:hideMark/>
          </w:tcPr>
          <w:p w:rsidR="008413B1" w:rsidRPr="008413B1" w:rsidRDefault="008413B1" w:rsidP="008413B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es-ES" w:bidi="ar-SA"/>
              </w:rPr>
            </w:pPr>
          </w:p>
        </w:tc>
      </w:tr>
      <w:tr w:rsidR="008413B1" w:rsidRPr="00EE18A7" w:rsidTr="008413B1">
        <w:trPr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8413B1" w:rsidRPr="008413B1" w:rsidRDefault="008413B1" w:rsidP="008413B1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8413B1">
              <w:rPr>
                <w:rFonts w:ascii="Arial" w:eastAsia="Times New Roman" w:hAnsi="Arial" w:cs="Arial"/>
                <w:color w:val="000000"/>
                <w:lang w:eastAsia="es-ES" w:bidi="ar-SA"/>
              </w:rPr>
              <w:t>Completa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8413B1" w:rsidRPr="008413B1" w:rsidRDefault="008413B1" w:rsidP="008413B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8413B1">
              <w:rPr>
                <w:rFonts w:ascii="Arial" w:eastAsia="Times New Roman" w:hAnsi="Arial" w:cs="Arial"/>
                <w:color w:val="000000"/>
                <w:lang w:eastAsia="es-ES" w:bidi="ar-SA"/>
              </w:rPr>
              <w:t>   26.523,55</w:t>
            </w:r>
          </w:p>
        </w:tc>
        <w:tc>
          <w:tcPr>
            <w:tcW w:w="778" w:type="pct"/>
            <w:shd w:val="clear" w:color="auto" w:fill="FFFFFF"/>
            <w:noWrap/>
            <w:vAlign w:val="center"/>
            <w:hideMark/>
          </w:tcPr>
          <w:p w:rsidR="008413B1" w:rsidRPr="008413B1" w:rsidRDefault="008413B1" w:rsidP="008413B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8413B1">
              <w:rPr>
                <w:rFonts w:ascii="Arial" w:eastAsia="Times New Roman" w:hAnsi="Arial" w:cs="Arial"/>
                <w:color w:val="000000"/>
                <w:lang w:eastAsia="es-ES" w:bidi="ar-SA"/>
              </w:rPr>
              <w:t>   22.898,25</w:t>
            </w:r>
          </w:p>
        </w:tc>
        <w:tc>
          <w:tcPr>
            <w:tcW w:w="653" w:type="pct"/>
            <w:shd w:val="clear" w:color="auto" w:fill="FFFFFF"/>
            <w:noWrap/>
            <w:vAlign w:val="center"/>
            <w:hideMark/>
          </w:tcPr>
          <w:p w:rsidR="008413B1" w:rsidRPr="008413B1" w:rsidRDefault="008413B1" w:rsidP="008413B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8413B1">
              <w:rPr>
                <w:rFonts w:ascii="Arial" w:eastAsia="Times New Roman" w:hAnsi="Arial" w:cs="Arial"/>
                <w:color w:val="000000"/>
                <w:lang w:eastAsia="es-ES" w:bidi="ar-SA"/>
              </w:rPr>
              <w:t>   25.057,11</w:t>
            </w:r>
          </w:p>
        </w:tc>
        <w:tc>
          <w:tcPr>
            <w:tcW w:w="219" w:type="pct"/>
            <w:shd w:val="clear" w:color="auto" w:fill="FFFFFF"/>
            <w:noWrap/>
            <w:vAlign w:val="center"/>
            <w:hideMark/>
          </w:tcPr>
          <w:p w:rsidR="008413B1" w:rsidRPr="008413B1" w:rsidRDefault="008413B1" w:rsidP="008413B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8413B1">
              <w:rPr>
                <w:rFonts w:ascii="Arial" w:eastAsia="Times New Roman" w:hAnsi="Arial" w:cs="Arial"/>
                <w:color w:val="000000"/>
                <w:lang w:eastAsia="es-ES" w:bidi="ar-SA"/>
              </w:rPr>
              <w:t>   </w:t>
            </w:r>
          </w:p>
        </w:tc>
        <w:tc>
          <w:tcPr>
            <w:tcW w:w="661" w:type="pct"/>
            <w:gridSpan w:val="3"/>
            <w:shd w:val="clear" w:color="auto" w:fill="FFFFFF"/>
            <w:noWrap/>
            <w:vAlign w:val="center"/>
            <w:hideMark/>
          </w:tcPr>
          <w:p w:rsidR="008413B1" w:rsidRPr="008413B1" w:rsidRDefault="008413B1" w:rsidP="008413B1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</w:p>
        </w:tc>
        <w:tc>
          <w:tcPr>
            <w:tcW w:w="0" w:type="auto"/>
            <w:gridSpan w:val="2"/>
            <w:shd w:val="clear" w:color="auto" w:fill="FFFFFF"/>
            <w:noWrap/>
            <w:vAlign w:val="center"/>
            <w:hideMark/>
          </w:tcPr>
          <w:p w:rsidR="008413B1" w:rsidRPr="008413B1" w:rsidRDefault="008413B1" w:rsidP="008413B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es-ES" w:bidi="ar-SA"/>
              </w:rPr>
            </w:pPr>
          </w:p>
        </w:tc>
      </w:tr>
      <w:tr w:rsidR="008413B1" w:rsidRPr="00EE18A7" w:rsidTr="008413B1">
        <w:trPr>
          <w:gridAfter w:val="1"/>
          <w:wAfter w:w="4" w:type="pct"/>
          <w:tblCellSpacing w:w="30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8413B1" w:rsidRPr="008413B1" w:rsidRDefault="008413B1" w:rsidP="008413B1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8413B1">
              <w:rPr>
                <w:rFonts w:ascii="Arial" w:eastAsia="Times New Roman" w:hAnsi="Arial" w:cs="Arial"/>
                <w:color w:val="000000"/>
                <w:lang w:eastAsia="es-ES" w:bidi="ar-SA"/>
              </w:rPr>
              <w:t>Parcial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8413B1" w:rsidRPr="008413B1" w:rsidRDefault="008413B1" w:rsidP="008413B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8413B1">
              <w:rPr>
                <w:rFonts w:ascii="Arial" w:eastAsia="Times New Roman" w:hAnsi="Arial" w:cs="Arial"/>
                <w:color w:val="000000"/>
                <w:lang w:eastAsia="es-ES" w:bidi="ar-SA"/>
              </w:rPr>
              <w:t>   11.247,94</w:t>
            </w:r>
          </w:p>
        </w:tc>
        <w:tc>
          <w:tcPr>
            <w:tcW w:w="778" w:type="pct"/>
            <w:shd w:val="clear" w:color="auto" w:fill="FFFFFF"/>
            <w:noWrap/>
            <w:vAlign w:val="center"/>
            <w:hideMark/>
          </w:tcPr>
          <w:p w:rsidR="008413B1" w:rsidRPr="008413B1" w:rsidRDefault="008413B1" w:rsidP="008413B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8413B1">
              <w:rPr>
                <w:rFonts w:ascii="Arial" w:eastAsia="Times New Roman" w:hAnsi="Arial" w:cs="Arial"/>
                <w:color w:val="000000"/>
                <w:lang w:eastAsia="es-ES" w:bidi="ar-SA"/>
              </w:rPr>
              <w:t>   9.872,39</w:t>
            </w:r>
          </w:p>
        </w:tc>
        <w:tc>
          <w:tcPr>
            <w:tcW w:w="653" w:type="pct"/>
            <w:shd w:val="clear" w:color="auto" w:fill="FFFFFF"/>
            <w:noWrap/>
            <w:vAlign w:val="center"/>
            <w:hideMark/>
          </w:tcPr>
          <w:p w:rsidR="008413B1" w:rsidRPr="008413B1" w:rsidRDefault="008413B1" w:rsidP="008413B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8413B1">
              <w:rPr>
                <w:rFonts w:ascii="Arial" w:eastAsia="Times New Roman" w:hAnsi="Arial" w:cs="Arial"/>
                <w:color w:val="000000"/>
                <w:lang w:eastAsia="es-ES" w:bidi="ar-SA"/>
              </w:rPr>
              <w:t>   10.307,13</w:t>
            </w:r>
          </w:p>
        </w:tc>
        <w:tc>
          <w:tcPr>
            <w:tcW w:w="219" w:type="pct"/>
            <w:shd w:val="clear" w:color="auto" w:fill="FFFFFF"/>
            <w:noWrap/>
            <w:vAlign w:val="center"/>
            <w:hideMark/>
          </w:tcPr>
          <w:p w:rsidR="008413B1" w:rsidRPr="008413B1" w:rsidRDefault="008413B1" w:rsidP="008413B1">
            <w:pPr>
              <w:spacing w:after="0" w:line="240" w:lineRule="auto"/>
              <w:ind w:firstLine="0"/>
              <w:jc w:val="right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  <w:r w:rsidRPr="00EE18A7">
              <w:rPr>
                <w:rFonts w:ascii="Arial" w:eastAsia="Times New Roman" w:hAnsi="Arial" w:cs="Arial"/>
                <w:color w:val="000000"/>
                <w:lang w:eastAsia="es-ES" w:bidi="ar-SA"/>
              </w:rPr>
              <w:t>  </w:t>
            </w:r>
          </w:p>
        </w:tc>
        <w:tc>
          <w:tcPr>
            <w:tcW w:w="575" w:type="pct"/>
            <w:gridSpan w:val="2"/>
            <w:shd w:val="clear" w:color="auto" w:fill="FFFFFF"/>
            <w:noWrap/>
            <w:vAlign w:val="center"/>
            <w:hideMark/>
          </w:tcPr>
          <w:p w:rsidR="008413B1" w:rsidRPr="008413B1" w:rsidRDefault="008413B1" w:rsidP="008413B1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eastAsia="es-ES" w:bidi="ar-SA"/>
              </w:rPr>
            </w:pPr>
          </w:p>
        </w:tc>
        <w:tc>
          <w:tcPr>
            <w:tcW w:w="0" w:type="auto"/>
            <w:gridSpan w:val="2"/>
            <w:shd w:val="clear" w:color="auto" w:fill="FFFFFF"/>
            <w:noWrap/>
            <w:vAlign w:val="center"/>
            <w:hideMark/>
          </w:tcPr>
          <w:p w:rsidR="008413B1" w:rsidRPr="008413B1" w:rsidRDefault="008413B1" w:rsidP="008413B1">
            <w:pPr>
              <w:spacing w:after="0" w:line="240" w:lineRule="auto"/>
              <w:ind w:firstLine="0"/>
              <w:rPr>
                <w:rFonts w:ascii="Arial" w:eastAsia="Times New Roman" w:hAnsi="Arial" w:cs="Arial"/>
                <w:color w:val="000000"/>
                <w:sz w:val="15"/>
                <w:szCs w:val="15"/>
                <w:lang w:eastAsia="es-ES" w:bidi="ar-SA"/>
              </w:rPr>
            </w:pPr>
          </w:p>
        </w:tc>
      </w:tr>
    </w:tbl>
    <w:p w:rsidR="006B6D69" w:rsidRPr="00EE18A7" w:rsidRDefault="006B6D69" w:rsidP="006B6D69">
      <w:pPr>
        <w:spacing w:line="276" w:lineRule="auto"/>
        <w:ind w:firstLine="0"/>
        <w:rPr>
          <w:rFonts w:ascii="Arial" w:hAnsi="Arial" w:cs="Arial"/>
          <w:b/>
          <w:sz w:val="28"/>
          <w:szCs w:val="28"/>
        </w:rPr>
      </w:pPr>
    </w:p>
    <w:p w:rsidR="008413B1" w:rsidRPr="00EE18A7" w:rsidRDefault="008413B1" w:rsidP="006B6D69">
      <w:pPr>
        <w:spacing w:line="276" w:lineRule="auto"/>
        <w:ind w:firstLine="0"/>
        <w:rPr>
          <w:rFonts w:ascii="Arial" w:hAnsi="Arial" w:cs="Arial"/>
          <w:b/>
          <w:sz w:val="28"/>
          <w:szCs w:val="28"/>
        </w:rPr>
      </w:pPr>
      <w:r w:rsidRPr="00EE18A7">
        <w:rPr>
          <w:rFonts w:ascii="Arial" w:hAnsi="Arial" w:cs="Arial"/>
          <w:b/>
          <w:sz w:val="28"/>
          <w:szCs w:val="28"/>
        </w:rPr>
        <w:drawing>
          <wp:inline distT="0" distB="0" distL="0" distR="0">
            <wp:extent cx="4924425" cy="3048000"/>
            <wp:effectExtent l="19050" t="0" r="0" b="0"/>
            <wp:docPr id="224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413B1" w:rsidRPr="00EE18A7" w:rsidRDefault="008413B1" w:rsidP="00EE18A7">
      <w:pPr>
        <w:spacing w:line="276" w:lineRule="auto"/>
        <w:ind w:firstLine="0"/>
        <w:jc w:val="both"/>
        <w:rPr>
          <w:rFonts w:ascii="Arial" w:hAnsi="Arial" w:cs="Arial"/>
          <w:b/>
          <w:sz w:val="24"/>
          <w:szCs w:val="24"/>
        </w:rPr>
      </w:pPr>
    </w:p>
    <w:p w:rsidR="00B945C6" w:rsidRPr="00EE18A7" w:rsidRDefault="008413B1" w:rsidP="00EE18A7">
      <w:pPr>
        <w:spacing w:line="276" w:lineRule="auto"/>
        <w:ind w:firstLine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EE18A7">
        <w:rPr>
          <w:rFonts w:ascii="Arial" w:hAnsi="Arial" w:cs="Arial"/>
          <w:color w:val="000000"/>
          <w:sz w:val="24"/>
          <w:szCs w:val="24"/>
          <w:shd w:val="clear" w:color="auto" w:fill="FFFFFF"/>
        </w:rPr>
        <w:t>En el cas d'Espanya, el salari brut anual va créixer un 2,9% interanual.</w:t>
      </w:r>
      <w:r w:rsidR="00EE18A7" w:rsidRPr="00EE18A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B945C6" w:rsidRPr="00EE18A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Podem observar també que les dones cobraven i segueixen cobrant molt menys que els homes, tot i que ha millorat respectivament en front als anys passats. I la disminució del salari ambdós casos </w:t>
      </w:r>
      <w:r w:rsidR="00EE18A7" w:rsidRPr="00EE18A7">
        <w:rPr>
          <w:rFonts w:ascii="Arial" w:hAnsi="Arial" w:cs="Arial"/>
          <w:color w:val="000000"/>
          <w:sz w:val="24"/>
          <w:szCs w:val="24"/>
          <w:shd w:val="clear" w:color="auto" w:fill="FFFFFF"/>
        </w:rPr>
        <w:t>provocada per l’atur que mica en mica ha anat creixent progressivament.</w:t>
      </w:r>
    </w:p>
    <w:sectPr w:rsidR="00B945C6" w:rsidRPr="00EE18A7" w:rsidSect="006B6D69"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5532C"/>
    <w:multiLevelType w:val="hybridMultilevel"/>
    <w:tmpl w:val="F3CA3646"/>
    <w:lvl w:ilvl="0" w:tplc="338CCB62">
      <w:start w:val="7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26858"/>
    <w:multiLevelType w:val="hybridMultilevel"/>
    <w:tmpl w:val="048CCE72"/>
    <w:lvl w:ilvl="0" w:tplc="355A22DE">
      <w:start w:val="71"/>
      <w:numFmt w:val="bullet"/>
      <w:lvlText w:val=""/>
      <w:lvlJc w:val="left"/>
      <w:pPr>
        <w:ind w:left="45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712F7502"/>
    <w:multiLevelType w:val="hybridMultilevel"/>
    <w:tmpl w:val="1AF2322E"/>
    <w:lvl w:ilvl="0" w:tplc="3794A366">
      <w:start w:val="71"/>
      <w:numFmt w:val="bullet"/>
      <w:lvlText w:val="-"/>
      <w:lvlJc w:val="left"/>
      <w:pPr>
        <w:ind w:left="720" w:hanging="360"/>
      </w:pPr>
      <w:rPr>
        <w:rFonts w:ascii="Broadway" w:eastAsiaTheme="minorHAnsi" w:hAnsi="Broadway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DE2A7A"/>
    <w:multiLevelType w:val="hybridMultilevel"/>
    <w:tmpl w:val="EBACB7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6766"/>
    <w:rsid w:val="00222E71"/>
    <w:rsid w:val="003761C1"/>
    <w:rsid w:val="003A4A53"/>
    <w:rsid w:val="003D2BFC"/>
    <w:rsid w:val="004446D8"/>
    <w:rsid w:val="00464155"/>
    <w:rsid w:val="005545A3"/>
    <w:rsid w:val="005B6766"/>
    <w:rsid w:val="0060332C"/>
    <w:rsid w:val="006144F8"/>
    <w:rsid w:val="006B6D69"/>
    <w:rsid w:val="008413B1"/>
    <w:rsid w:val="008716D7"/>
    <w:rsid w:val="008A3DE2"/>
    <w:rsid w:val="008B620D"/>
    <w:rsid w:val="00950091"/>
    <w:rsid w:val="00997B5D"/>
    <w:rsid w:val="00A63625"/>
    <w:rsid w:val="00B460AD"/>
    <w:rsid w:val="00B7239A"/>
    <w:rsid w:val="00B829B4"/>
    <w:rsid w:val="00B945C6"/>
    <w:rsid w:val="00BA052B"/>
    <w:rsid w:val="00CC687F"/>
    <w:rsid w:val="00D75335"/>
    <w:rsid w:val="00DA4BB9"/>
    <w:rsid w:val="00DC5FBA"/>
    <w:rsid w:val="00DE3E28"/>
    <w:rsid w:val="00DE798A"/>
    <w:rsid w:val="00E364E2"/>
    <w:rsid w:val="00EE18A7"/>
    <w:rsid w:val="00EF38A5"/>
    <w:rsid w:val="00F21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155"/>
    <w:rPr>
      <w:lang w:val="ca-ES"/>
    </w:rPr>
  </w:style>
  <w:style w:type="paragraph" w:styleId="Ttulo1">
    <w:name w:val="heading 1"/>
    <w:basedOn w:val="Normal"/>
    <w:next w:val="Normal"/>
    <w:link w:val="Ttulo1Car"/>
    <w:uiPriority w:val="9"/>
    <w:qFormat/>
    <w:rsid w:val="00464155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64155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64155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64155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64155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64155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64155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64155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64155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64155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6415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64155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64155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6415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6415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64155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64155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64155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464155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464155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TtuloCar">
    <w:name w:val="Título Car"/>
    <w:basedOn w:val="Fuentedeprrafopredeter"/>
    <w:link w:val="Ttulo"/>
    <w:uiPriority w:val="10"/>
    <w:rsid w:val="00464155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Subttulo">
    <w:name w:val="Subtitle"/>
    <w:basedOn w:val="Normal"/>
    <w:next w:val="Normal"/>
    <w:link w:val="SubttuloCar"/>
    <w:uiPriority w:val="11"/>
    <w:qFormat/>
    <w:rsid w:val="00464155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464155"/>
    <w:rPr>
      <w:i/>
      <w:iCs/>
      <w:color w:val="808080" w:themeColor="text1" w:themeTint="7F"/>
      <w:spacing w:val="10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464155"/>
    <w:rPr>
      <w:b/>
      <w:bCs/>
      <w:spacing w:val="0"/>
    </w:rPr>
  </w:style>
  <w:style w:type="character" w:styleId="nfasis">
    <w:name w:val="Emphasis"/>
    <w:uiPriority w:val="20"/>
    <w:qFormat/>
    <w:rsid w:val="00464155"/>
    <w:rPr>
      <w:b/>
      <w:bCs/>
      <w:i/>
      <w:iCs/>
      <w:color w:val="auto"/>
    </w:rPr>
  </w:style>
  <w:style w:type="paragraph" w:styleId="Sinespaciado">
    <w:name w:val="No Spacing"/>
    <w:basedOn w:val="Normal"/>
    <w:uiPriority w:val="1"/>
    <w:qFormat/>
    <w:rsid w:val="00464155"/>
    <w:pPr>
      <w:spacing w:after="0" w:line="240" w:lineRule="auto"/>
      <w:ind w:firstLine="0"/>
    </w:pPr>
  </w:style>
  <w:style w:type="paragraph" w:styleId="Prrafodelista">
    <w:name w:val="List Paragraph"/>
    <w:basedOn w:val="Normal"/>
    <w:uiPriority w:val="34"/>
    <w:qFormat/>
    <w:rsid w:val="00464155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464155"/>
    <w:rPr>
      <w:color w:val="5A5A5A" w:themeColor="text1" w:themeTint="A5"/>
    </w:rPr>
  </w:style>
  <w:style w:type="character" w:customStyle="1" w:styleId="CitaCar">
    <w:name w:val="Cita Car"/>
    <w:basedOn w:val="Fuentedeprrafopredeter"/>
    <w:link w:val="Cita"/>
    <w:uiPriority w:val="29"/>
    <w:rsid w:val="00464155"/>
    <w:rPr>
      <w:rFonts w:asciiTheme="minorHAnsi"/>
      <w:color w:val="5A5A5A" w:themeColor="text1" w:themeTint="A5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64155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64155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nfasissutil">
    <w:name w:val="Subtle Emphasis"/>
    <w:uiPriority w:val="19"/>
    <w:qFormat/>
    <w:rsid w:val="00464155"/>
    <w:rPr>
      <w:i/>
      <w:iCs/>
      <w:color w:val="5A5A5A" w:themeColor="text1" w:themeTint="A5"/>
    </w:rPr>
  </w:style>
  <w:style w:type="character" w:styleId="nfasisintenso">
    <w:name w:val="Intense Emphasis"/>
    <w:uiPriority w:val="21"/>
    <w:qFormat/>
    <w:rsid w:val="00464155"/>
    <w:rPr>
      <w:b/>
      <w:bCs/>
      <w:i/>
      <w:iCs/>
      <w:color w:val="auto"/>
      <w:u w:val="single"/>
    </w:rPr>
  </w:style>
  <w:style w:type="character" w:styleId="Referenciasutil">
    <w:name w:val="Subtle Reference"/>
    <w:uiPriority w:val="31"/>
    <w:qFormat/>
    <w:rsid w:val="00464155"/>
    <w:rPr>
      <w:smallCaps/>
    </w:rPr>
  </w:style>
  <w:style w:type="character" w:styleId="Referenciaintensa">
    <w:name w:val="Intense Reference"/>
    <w:uiPriority w:val="32"/>
    <w:qFormat/>
    <w:rsid w:val="00464155"/>
    <w:rPr>
      <w:b/>
      <w:bCs/>
      <w:smallCaps/>
      <w:color w:val="auto"/>
    </w:rPr>
  </w:style>
  <w:style w:type="character" w:styleId="Ttulodellibro">
    <w:name w:val="Book Title"/>
    <w:uiPriority w:val="33"/>
    <w:qFormat/>
    <w:rsid w:val="00464155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464155"/>
    <w:pPr>
      <w:outlineLvl w:val="9"/>
    </w:pPr>
  </w:style>
  <w:style w:type="character" w:customStyle="1" w:styleId="textnegretes">
    <w:name w:val="textnegretes"/>
    <w:basedOn w:val="Fuentedeprrafopredeter"/>
    <w:rsid w:val="005B6766"/>
  </w:style>
  <w:style w:type="paragraph" w:styleId="Textodeglobo">
    <w:name w:val="Balloon Text"/>
    <w:basedOn w:val="Normal"/>
    <w:link w:val="TextodegloboCar"/>
    <w:uiPriority w:val="99"/>
    <w:semiHidden/>
    <w:unhideWhenUsed/>
    <w:rsid w:val="005B6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6766"/>
    <w:rPr>
      <w:rFonts w:ascii="Tahoma" w:hAnsi="Tahoma" w:cs="Tahoma"/>
      <w:sz w:val="16"/>
      <w:szCs w:val="16"/>
      <w:lang w:val="ca-ES"/>
    </w:rPr>
  </w:style>
  <w:style w:type="character" w:customStyle="1" w:styleId="grup">
    <w:name w:val="grup"/>
    <w:basedOn w:val="Fuentedeprrafopredeter"/>
    <w:rsid w:val="00B7239A"/>
  </w:style>
  <w:style w:type="character" w:customStyle="1" w:styleId="apple-converted-space">
    <w:name w:val="apple-converted-space"/>
    <w:basedOn w:val="Fuentedeprrafopredeter"/>
    <w:rsid w:val="00B7239A"/>
  </w:style>
  <w:style w:type="character" w:styleId="Hipervnculo">
    <w:name w:val="Hyperlink"/>
    <w:basedOn w:val="Fuentedeprrafopredeter"/>
    <w:uiPriority w:val="99"/>
    <w:semiHidden/>
    <w:unhideWhenUsed/>
    <w:rsid w:val="00B7239A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2158C"/>
    <w:rPr>
      <w:color w:val="800080" w:themeColor="followedHyperlink"/>
      <w:u w:val="single"/>
    </w:rPr>
  </w:style>
  <w:style w:type="table" w:styleId="Tablaconcuadrcula">
    <w:name w:val="Table Grid"/>
    <w:basedOn w:val="Tablanormal"/>
    <w:uiPriority w:val="59"/>
    <w:rsid w:val="00F215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claro-nfasis11">
    <w:name w:val="Sombreado claro - Énfasis 11"/>
    <w:basedOn w:val="Tablanormal"/>
    <w:uiPriority w:val="60"/>
    <w:rsid w:val="00F2158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4">
    <w:name w:val="Light Shading Accent 4"/>
    <w:basedOn w:val="Tablanormal"/>
    <w:uiPriority w:val="60"/>
    <w:rsid w:val="00F2158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medio2-nfasis4">
    <w:name w:val="Medium Shading 2 Accent 4"/>
    <w:basedOn w:val="Tablanormal"/>
    <w:uiPriority w:val="64"/>
    <w:rsid w:val="00F2158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chart" Target="charts/chart5.xml"/><Relationship Id="rId5" Type="http://schemas.openxmlformats.org/officeDocument/2006/relationships/image" Target="media/image1.gif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Hoja1!$C$5</c:f>
              <c:strCache>
                <c:ptCount val="1"/>
                <c:pt idx="0">
                  <c:v>2007</c:v>
                </c:pt>
              </c:strCache>
            </c:strRef>
          </c:tx>
          <c:cat>
            <c:strRef>
              <c:f>Hoja1!$B$6:$B$9</c:f>
              <c:strCache>
                <c:ptCount val="4"/>
                <c:pt idx="0">
                  <c:v>Catalunya</c:v>
                </c:pt>
                <c:pt idx="1">
                  <c:v>Espanya</c:v>
                </c:pt>
                <c:pt idx="2">
                  <c:v>Zona Euro</c:v>
                </c:pt>
                <c:pt idx="3">
                  <c:v>Unió Europea</c:v>
                </c:pt>
              </c:strCache>
            </c:strRef>
          </c:cat>
          <c:val>
            <c:numRef>
              <c:f>Hoja1!$C$6:$C$9</c:f>
              <c:numCache>
                <c:formatCode>General</c:formatCode>
                <c:ptCount val="4"/>
                <c:pt idx="0">
                  <c:v>9.3000000000000007</c:v>
                </c:pt>
                <c:pt idx="1">
                  <c:v>40.1</c:v>
                </c:pt>
                <c:pt idx="2">
                  <c:v>70.099999999999994</c:v>
                </c:pt>
                <c:pt idx="3">
                  <c:v>62.5</c:v>
                </c:pt>
              </c:numCache>
            </c:numRef>
          </c:val>
        </c:ser>
        <c:ser>
          <c:idx val="1"/>
          <c:order val="1"/>
          <c:tx>
            <c:strRef>
              <c:f>Hoja1!$D$5</c:f>
              <c:strCache>
                <c:ptCount val="1"/>
                <c:pt idx="0">
                  <c:v>2008</c:v>
                </c:pt>
              </c:strCache>
            </c:strRef>
          </c:tx>
          <c:cat>
            <c:strRef>
              <c:f>Hoja1!$B$6:$B$9</c:f>
              <c:strCache>
                <c:ptCount val="4"/>
                <c:pt idx="0">
                  <c:v>Catalunya</c:v>
                </c:pt>
                <c:pt idx="1">
                  <c:v>Espanya</c:v>
                </c:pt>
                <c:pt idx="2">
                  <c:v>Zona Euro</c:v>
                </c:pt>
                <c:pt idx="3">
                  <c:v>Unió Europea</c:v>
                </c:pt>
              </c:strCache>
            </c:strRef>
          </c:cat>
          <c:val>
            <c:numRef>
              <c:f>Hoja1!$D$6:$D$9</c:f>
              <c:numCache>
                <c:formatCode>General</c:formatCode>
                <c:ptCount val="4"/>
                <c:pt idx="0">
                  <c:v>11.9</c:v>
                </c:pt>
                <c:pt idx="1">
                  <c:v>53.8</c:v>
                </c:pt>
                <c:pt idx="2">
                  <c:v>79.8</c:v>
                </c:pt>
                <c:pt idx="3">
                  <c:v>74.7</c:v>
                </c:pt>
              </c:numCache>
            </c:numRef>
          </c:val>
        </c:ser>
        <c:ser>
          <c:idx val="2"/>
          <c:order val="2"/>
          <c:tx>
            <c:strRef>
              <c:f>Hoja1!$E$5</c:f>
              <c:strCache>
                <c:ptCount val="1"/>
                <c:pt idx="0">
                  <c:v>2009</c:v>
                </c:pt>
              </c:strCache>
            </c:strRef>
          </c:tx>
          <c:cat>
            <c:strRef>
              <c:f>Hoja1!$B$6:$B$9</c:f>
              <c:strCache>
                <c:ptCount val="4"/>
                <c:pt idx="0">
                  <c:v>Catalunya</c:v>
                </c:pt>
                <c:pt idx="1">
                  <c:v>Espanya</c:v>
                </c:pt>
                <c:pt idx="2">
                  <c:v>Zona Euro</c:v>
                </c:pt>
                <c:pt idx="3">
                  <c:v>Unió Europea</c:v>
                </c:pt>
              </c:strCache>
            </c:strRef>
          </c:cat>
          <c:val>
            <c:numRef>
              <c:f>Hoja1!$E$6:$E$9</c:f>
              <c:numCache>
                <c:formatCode>General</c:formatCode>
                <c:ptCount val="4"/>
                <c:pt idx="0">
                  <c:v>16.2</c:v>
                </c:pt>
                <c:pt idx="1">
                  <c:v>61</c:v>
                </c:pt>
                <c:pt idx="2">
                  <c:v>85.3</c:v>
                </c:pt>
                <c:pt idx="3">
                  <c:v>80.099999999999994</c:v>
                </c:pt>
              </c:numCache>
            </c:numRef>
          </c:val>
        </c:ser>
        <c:shape val="cone"/>
        <c:axId val="65527168"/>
        <c:axId val="65619072"/>
        <c:axId val="0"/>
      </c:bar3DChart>
      <c:catAx>
        <c:axId val="65527168"/>
        <c:scaling>
          <c:orientation val="minMax"/>
        </c:scaling>
        <c:axPos val="b"/>
        <c:tickLblPos val="nextTo"/>
        <c:crossAx val="65619072"/>
        <c:crosses val="autoZero"/>
        <c:auto val="1"/>
        <c:lblAlgn val="ctr"/>
        <c:lblOffset val="100"/>
      </c:catAx>
      <c:valAx>
        <c:axId val="65619072"/>
        <c:scaling>
          <c:orientation val="minMax"/>
        </c:scaling>
        <c:axPos val="l"/>
        <c:majorGridlines/>
        <c:numFmt formatCode="General" sourceLinked="1"/>
        <c:tickLblPos val="nextTo"/>
        <c:crossAx val="6552716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Hoja1!$C$5</c:f>
              <c:strCache>
                <c:ptCount val="1"/>
                <c:pt idx="0">
                  <c:v>2007</c:v>
                </c:pt>
              </c:strCache>
            </c:strRef>
          </c:tx>
          <c:cat>
            <c:strRef>
              <c:f>Hoja1!$B$6:$B$9</c:f>
              <c:strCache>
                <c:ptCount val="4"/>
                <c:pt idx="0">
                  <c:v>Catalunya</c:v>
                </c:pt>
                <c:pt idx="1">
                  <c:v>Espanya</c:v>
                </c:pt>
                <c:pt idx="2">
                  <c:v>Zona Euro</c:v>
                </c:pt>
                <c:pt idx="3">
                  <c:v>Unió Europea</c:v>
                </c:pt>
              </c:strCache>
            </c:strRef>
          </c:cat>
          <c:val>
            <c:numRef>
              <c:f>Hoja1!$C$6:$C$9</c:f>
              <c:numCache>
                <c:formatCode>General</c:formatCode>
                <c:ptCount val="4"/>
                <c:pt idx="0">
                  <c:v>9.3000000000000007</c:v>
                </c:pt>
                <c:pt idx="1">
                  <c:v>40.1</c:v>
                </c:pt>
                <c:pt idx="2">
                  <c:v>70.099999999999994</c:v>
                </c:pt>
                <c:pt idx="3">
                  <c:v>62.5</c:v>
                </c:pt>
              </c:numCache>
            </c:numRef>
          </c:val>
        </c:ser>
        <c:ser>
          <c:idx val="1"/>
          <c:order val="1"/>
          <c:tx>
            <c:strRef>
              <c:f>Hoja1!$D$5</c:f>
              <c:strCache>
                <c:ptCount val="1"/>
                <c:pt idx="0">
                  <c:v>2008</c:v>
                </c:pt>
              </c:strCache>
            </c:strRef>
          </c:tx>
          <c:cat>
            <c:strRef>
              <c:f>Hoja1!$B$6:$B$9</c:f>
              <c:strCache>
                <c:ptCount val="4"/>
                <c:pt idx="0">
                  <c:v>Catalunya</c:v>
                </c:pt>
                <c:pt idx="1">
                  <c:v>Espanya</c:v>
                </c:pt>
                <c:pt idx="2">
                  <c:v>Zona Euro</c:v>
                </c:pt>
                <c:pt idx="3">
                  <c:v>Unió Europea</c:v>
                </c:pt>
              </c:strCache>
            </c:strRef>
          </c:cat>
          <c:val>
            <c:numRef>
              <c:f>Hoja1!$D$6:$D$9</c:f>
              <c:numCache>
                <c:formatCode>General</c:formatCode>
                <c:ptCount val="4"/>
                <c:pt idx="0">
                  <c:v>11.9</c:v>
                </c:pt>
                <c:pt idx="1">
                  <c:v>53.8</c:v>
                </c:pt>
                <c:pt idx="2">
                  <c:v>79.8</c:v>
                </c:pt>
                <c:pt idx="3">
                  <c:v>74.7</c:v>
                </c:pt>
              </c:numCache>
            </c:numRef>
          </c:val>
        </c:ser>
        <c:ser>
          <c:idx val="2"/>
          <c:order val="2"/>
          <c:tx>
            <c:strRef>
              <c:f>Hoja1!$E$5</c:f>
              <c:strCache>
                <c:ptCount val="1"/>
                <c:pt idx="0">
                  <c:v>2009</c:v>
                </c:pt>
              </c:strCache>
            </c:strRef>
          </c:tx>
          <c:cat>
            <c:strRef>
              <c:f>Hoja1!$B$6:$B$9</c:f>
              <c:strCache>
                <c:ptCount val="4"/>
                <c:pt idx="0">
                  <c:v>Catalunya</c:v>
                </c:pt>
                <c:pt idx="1">
                  <c:v>Espanya</c:v>
                </c:pt>
                <c:pt idx="2">
                  <c:v>Zona Euro</c:v>
                </c:pt>
                <c:pt idx="3">
                  <c:v>Unió Europea</c:v>
                </c:pt>
              </c:strCache>
            </c:strRef>
          </c:cat>
          <c:val>
            <c:numRef>
              <c:f>Hoja1!$E$6:$E$9</c:f>
              <c:numCache>
                <c:formatCode>General</c:formatCode>
                <c:ptCount val="4"/>
                <c:pt idx="0">
                  <c:v>16.2</c:v>
                </c:pt>
                <c:pt idx="1">
                  <c:v>61</c:v>
                </c:pt>
                <c:pt idx="2">
                  <c:v>85.3</c:v>
                </c:pt>
                <c:pt idx="3">
                  <c:v>80.099999999999994</c:v>
                </c:pt>
              </c:numCache>
            </c:numRef>
          </c:val>
        </c:ser>
        <c:shape val="cylinder"/>
        <c:axId val="84846848"/>
        <c:axId val="84859520"/>
        <c:axId val="0"/>
      </c:bar3DChart>
      <c:catAx>
        <c:axId val="84846848"/>
        <c:scaling>
          <c:orientation val="minMax"/>
        </c:scaling>
        <c:axPos val="b"/>
        <c:tickLblPos val="nextTo"/>
        <c:crossAx val="84859520"/>
        <c:crosses val="autoZero"/>
        <c:auto val="1"/>
        <c:lblAlgn val="ctr"/>
        <c:lblOffset val="100"/>
      </c:catAx>
      <c:valAx>
        <c:axId val="84859520"/>
        <c:scaling>
          <c:orientation val="minMax"/>
        </c:scaling>
        <c:axPos val="l"/>
        <c:majorGridlines/>
        <c:numFmt formatCode="General" sourceLinked="1"/>
        <c:tickLblPos val="nextTo"/>
        <c:crossAx val="8484684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Hoja1!$C$5</c:f>
              <c:strCache>
                <c:ptCount val="1"/>
                <c:pt idx="0">
                  <c:v>2007</c:v>
                </c:pt>
              </c:strCache>
            </c:strRef>
          </c:tx>
          <c:cat>
            <c:strRef>
              <c:f>Hoja1!$B$6:$B$9</c:f>
              <c:strCache>
                <c:ptCount val="4"/>
                <c:pt idx="0">
                  <c:v>Catalunya</c:v>
                </c:pt>
                <c:pt idx="1">
                  <c:v>Espanya</c:v>
                </c:pt>
                <c:pt idx="2">
                  <c:v>Zona Euro</c:v>
                </c:pt>
                <c:pt idx="3">
                  <c:v>Unió Europea</c:v>
                </c:pt>
              </c:strCache>
            </c:strRef>
          </c:cat>
          <c:val>
            <c:numRef>
              <c:f>Hoja1!$C$6:$C$9</c:f>
              <c:numCache>
                <c:formatCode>General</c:formatCode>
                <c:ptCount val="4"/>
                <c:pt idx="0">
                  <c:v>9.3000000000000007</c:v>
                </c:pt>
                <c:pt idx="1">
                  <c:v>40.1</c:v>
                </c:pt>
                <c:pt idx="2">
                  <c:v>70.099999999999994</c:v>
                </c:pt>
                <c:pt idx="3">
                  <c:v>62.5</c:v>
                </c:pt>
              </c:numCache>
            </c:numRef>
          </c:val>
        </c:ser>
        <c:ser>
          <c:idx val="1"/>
          <c:order val="1"/>
          <c:tx>
            <c:strRef>
              <c:f>Hoja1!$D$5</c:f>
              <c:strCache>
                <c:ptCount val="1"/>
                <c:pt idx="0">
                  <c:v>2008</c:v>
                </c:pt>
              </c:strCache>
            </c:strRef>
          </c:tx>
          <c:cat>
            <c:strRef>
              <c:f>Hoja1!$B$6:$B$9</c:f>
              <c:strCache>
                <c:ptCount val="4"/>
                <c:pt idx="0">
                  <c:v>Catalunya</c:v>
                </c:pt>
                <c:pt idx="1">
                  <c:v>Espanya</c:v>
                </c:pt>
                <c:pt idx="2">
                  <c:v>Zona Euro</c:v>
                </c:pt>
                <c:pt idx="3">
                  <c:v>Unió Europea</c:v>
                </c:pt>
              </c:strCache>
            </c:strRef>
          </c:cat>
          <c:val>
            <c:numRef>
              <c:f>Hoja1!$D$6:$D$9</c:f>
              <c:numCache>
                <c:formatCode>General</c:formatCode>
                <c:ptCount val="4"/>
                <c:pt idx="0">
                  <c:v>11.9</c:v>
                </c:pt>
                <c:pt idx="1">
                  <c:v>53.8</c:v>
                </c:pt>
                <c:pt idx="2">
                  <c:v>79.8</c:v>
                </c:pt>
                <c:pt idx="3">
                  <c:v>74.7</c:v>
                </c:pt>
              </c:numCache>
            </c:numRef>
          </c:val>
        </c:ser>
        <c:ser>
          <c:idx val="2"/>
          <c:order val="2"/>
          <c:tx>
            <c:strRef>
              <c:f>Hoja1!$E$5</c:f>
              <c:strCache>
                <c:ptCount val="1"/>
                <c:pt idx="0">
                  <c:v>2009</c:v>
                </c:pt>
              </c:strCache>
            </c:strRef>
          </c:tx>
          <c:cat>
            <c:strRef>
              <c:f>Hoja1!$B$6:$B$9</c:f>
              <c:strCache>
                <c:ptCount val="4"/>
                <c:pt idx="0">
                  <c:v>Catalunya</c:v>
                </c:pt>
                <c:pt idx="1">
                  <c:v>Espanya</c:v>
                </c:pt>
                <c:pt idx="2">
                  <c:v>Zona Euro</c:v>
                </c:pt>
                <c:pt idx="3">
                  <c:v>Unió Europea</c:v>
                </c:pt>
              </c:strCache>
            </c:strRef>
          </c:cat>
          <c:val>
            <c:numRef>
              <c:f>Hoja1!$E$6:$E$9</c:f>
              <c:numCache>
                <c:formatCode>General</c:formatCode>
                <c:ptCount val="4"/>
                <c:pt idx="0">
                  <c:v>16.2</c:v>
                </c:pt>
                <c:pt idx="1">
                  <c:v>61</c:v>
                </c:pt>
                <c:pt idx="2">
                  <c:v>85.3</c:v>
                </c:pt>
                <c:pt idx="3">
                  <c:v>80.099999999999994</c:v>
                </c:pt>
              </c:numCache>
            </c:numRef>
          </c:val>
        </c:ser>
        <c:shape val="pyramid"/>
        <c:axId val="88851584"/>
        <c:axId val="88853120"/>
        <c:axId val="0"/>
      </c:bar3DChart>
      <c:catAx>
        <c:axId val="88851584"/>
        <c:scaling>
          <c:orientation val="minMax"/>
        </c:scaling>
        <c:axPos val="b"/>
        <c:tickLblPos val="nextTo"/>
        <c:crossAx val="88853120"/>
        <c:crosses val="autoZero"/>
        <c:auto val="1"/>
        <c:lblAlgn val="ctr"/>
        <c:lblOffset val="100"/>
      </c:catAx>
      <c:valAx>
        <c:axId val="88853120"/>
        <c:scaling>
          <c:orientation val="minMax"/>
        </c:scaling>
        <c:axPos val="l"/>
        <c:majorGridlines/>
        <c:numFmt formatCode="General" sourceLinked="1"/>
        <c:tickLblPos val="nextTo"/>
        <c:crossAx val="8885158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view3D>
      <c:rAngAx val="1"/>
    </c:view3D>
    <c:sideWall>
      <c:spPr>
        <a:noFill/>
        <a:ln w="25400">
          <a:noFill/>
        </a:ln>
      </c:spPr>
    </c:sideWall>
    <c:backWall>
      <c:spPr>
        <a:noFill/>
        <a:ln w="25400">
          <a:noFill/>
        </a:ln>
      </c:spPr>
    </c:backWall>
    <c:plotArea>
      <c:layout/>
      <c:bar3DChart>
        <c:barDir val="col"/>
        <c:grouping val="stacked"/>
        <c:ser>
          <c:idx val="0"/>
          <c:order val="0"/>
          <c:tx>
            <c:strRef>
              <c:f>Hoja1!$C$5</c:f>
              <c:strCache>
                <c:ptCount val="1"/>
                <c:pt idx="0">
                  <c:v>2007</c:v>
                </c:pt>
              </c:strCache>
            </c:strRef>
          </c:tx>
          <c:cat>
            <c:strRef>
              <c:f>Hoja1!$B$6:$B$9</c:f>
              <c:strCache>
                <c:ptCount val="4"/>
                <c:pt idx="0">
                  <c:v>Catalunya</c:v>
                </c:pt>
                <c:pt idx="1">
                  <c:v>Espanya</c:v>
                </c:pt>
                <c:pt idx="2">
                  <c:v>Zona Euro</c:v>
                </c:pt>
                <c:pt idx="3">
                  <c:v>Unió Europea</c:v>
                </c:pt>
              </c:strCache>
            </c:strRef>
          </c:cat>
          <c:val>
            <c:numRef>
              <c:f>Hoja1!$C$6:$C$9</c:f>
              <c:numCache>
                <c:formatCode>General</c:formatCode>
                <c:ptCount val="4"/>
                <c:pt idx="0">
                  <c:v>9.3000000000000007</c:v>
                </c:pt>
                <c:pt idx="1">
                  <c:v>40.1</c:v>
                </c:pt>
                <c:pt idx="2">
                  <c:v>70.099999999999994</c:v>
                </c:pt>
                <c:pt idx="3">
                  <c:v>62.5</c:v>
                </c:pt>
              </c:numCache>
            </c:numRef>
          </c:val>
        </c:ser>
        <c:ser>
          <c:idx val="1"/>
          <c:order val="1"/>
          <c:tx>
            <c:strRef>
              <c:f>Hoja1!$D$5</c:f>
              <c:strCache>
                <c:ptCount val="1"/>
                <c:pt idx="0">
                  <c:v>2008</c:v>
                </c:pt>
              </c:strCache>
            </c:strRef>
          </c:tx>
          <c:cat>
            <c:strRef>
              <c:f>Hoja1!$B$6:$B$9</c:f>
              <c:strCache>
                <c:ptCount val="4"/>
                <c:pt idx="0">
                  <c:v>Catalunya</c:v>
                </c:pt>
                <c:pt idx="1">
                  <c:v>Espanya</c:v>
                </c:pt>
                <c:pt idx="2">
                  <c:v>Zona Euro</c:v>
                </c:pt>
                <c:pt idx="3">
                  <c:v>Unió Europea</c:v>
                </c:pt>
              </c:strCache>
            </c:strRef>
          </c:cat>
          <c:val>
            <c:numRef>
              <c:f>Hoja1!$D$6:$D$9</c:f>
              <c:numCache>
                <c:formatCode>General</c:formatCode>
                <c:ptCount val="4"/>
                <c:pt idx="0">
                  <c:v>11.9</c:v>
                </c:pt>
                <c:pt idx="1">
                  <c:v>53.8</c:v>
                </c:pt>
                <c:pt idx="2">
                  <c:v>79.8</c:v>
                </c:pt>
                <c:pt idx="3">
                  <c:v>74.7</c:v>
                </c:pt>
              </c:numCache>
            </c:numRef>
          </c:val>
        </c:ser>
        <c:ser>
          <c:idx val="2"/>
          <c:order val="2"/>
          <c:tx>
            <c:strRef>
              <c:f>Hoja1!$E$5</c:f>
              <c:strCache>
                <c:ptCount val="1"/>
                <c:pt idx="0">
                  <c:v>2009</c:v>
                </c:pt>
              </c:strCache>
            </c:strRef>
          </c:tx>
          <c:cat>
            <c:strRef>
              <c:f>Hoja1!$B$6:$B$9</c:f>
              <c:strCache>
                <c:ptCount val="4"/>
                <c:pt idx="0">
                  <c:v>Catalunya</c:v>
                </c:pt>
                <c:pt idx="1">
                  <c:v>Espanya</c:v>
                </c:pt>
                <c:pt idx="2">
                  <c:v>Zona Euro</c:v>
                </c:pt>
                <c:pt idx="3">
                  <c:v>Unió Europea</c:v>
                </c:pt>
              </c:strCache>
            </c:strRef>
          </c:cat>
          <c:val>
            <c:numRef>
              <c:f>Hoja1!$E$6:$E$9</c:f>
              <c:numCache>
                <c:formatCode>General</c:formatCode>
                <c:ptCount val="4"/>
                <c:pt idx="0">
                  <c:v>16.2</c:v>
                </c:pt>
                <c:pt idx="1">
                  <c:v>61</c:v>
                </c:pt>
                <c:pt idx="2">
                  <c:v>85.3</c:v>
                </c:pt>
                <c:pt idx="3">
                  <c:v>80.099999999999994</c:v>
                </c:pt>
              </c:numCache>
            </c:numRef>
          </c:val>
        </c:ser>
        <c:shape val="box"/>
        <c:axId val="65845120"/>
        <c:axId val="65846656"/>
        <c:axId val="0"/>
      </c:bar3DChart>
      <c:catAx>
        <c:axId val="65845120"/>
        <c:scaling>
          <c:orientation val="minMax"/>
        </c:scaling>
        <c:axPos val="b"/>
        <c:tickLblPos val="nextTo"/>
        <c:crossAx val="65846656"/>
        <c:crosses val="autoZero"/>
        <c:auto val="1"/>
        <c:lblAlgn val="ctr"/>
        <c:lblOffset val="100"/>
      </c:catAx>
      <c:valAx>
        <c:axId val="65846656"/>
        <c:scaling>
          <c:orientation val="minMax"/>
        </c:scaling>
        <c:axPos val="l"/>
        <c:majorGridlines/>
        <c:numFmt formatCode="General" sourceLinked="1"/>
        <c:tickLblPos val="nextTo"/>
        <c:crossAx val="6584512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style val="47"/>
  <c:chart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Hoja1!$E$20</c:f>
              <c:strCache>
                <c:ptCount val="1"/>
                <c:pt idx="0">
                  <c:v>Total</c:v>
                </c:pt>
              </c:strCache>
            </c:strRef>
          </c:tx>
          <c:cat>
            <c:strRef>
              <c:f>Hoja1!$F$19:$H$19</c:f>
              <c:strCache>
                <c:ptCount val="3"/>
                <c:pt idx="0">
                  <c:v>Homes</c:v>
                </c:pt>
                <c:pt idx="1">
                  <c:v>Dones</c:v>
                </c:pt>
                <c:pt idx="2">
                  <c:v>Total</c:v>
                </c:pt>
              </c:strCache>
            </c:strRef>
          </c:cat>
          <c:val>
            <c:numRef>
              <c:f>Hoja1!$F$20:$H$20</c:f>
              <c:numCache>
                <c:formatCode>#,##0.00</c:formatCode>
                <c:ptCount val="3"/>
                <c:pt idx="0">
                  <c:v>26901.3</c:v>
                </c:pt>
                <c:pt idx="1">
                  <c:v>20467.14</c:v>
                </c:pt>
                <c:pt idx="2">
                  <c:v>23851.309999999998</c:v>
                </c:pt>
              </c:numCache>
            </c:numRef>
          </c:val>
        </c:ser>
        <c:ser>
          <c:idx val="1"/>
          <c:order val="1"/>
          <c:tx>
            <c:strRef>
              <c:f>Hoja1!$E$21</c:f>
              <c:strCache>
                <c:ptCount val="1"/>
                <c:pt idx="0">
                  <c:v>Completa</c:v>
                </c:pt>
              </c:strCache>
            </c:strRef>
          </c:tx>
          <c:cat>
            <c:strRef>
              <c:f>Hoja1!$F$19:$H$19</c:f>
              <c:strCache>
                <c:ptCount val="3"/>
                <c:pt idx="0">
                  <c:v>Homes</c:v>
                </c:pt>
                <c:pt idx="1">
                  <c:v>Dones</c:v>
                </c:pt>
                <c:pt idx="2">
                  <c:v>Total</c:v>
                </c:pt>
              </c:strCache>
            </c:strRef>
          </c:cat>
          <c:val>
            <c:numRef>
              <c:f>Hoja1!$F$21:$H$21</c:f>
              <c:numCache>
                <c:formatCode>#,##0.00</c:formatCode>
                <c:ptCount val="3"/>
                <c:pt idx="0">
                  <c:v>28673.780000000002</c:v>
                </c:pt>
                <c:pt idx="1">
                  <c:v>23507.18</c:v>
                </c:pt>
                <c:pt idx="2">
                  <c:v>26451.940000000002</c:v>
                </c:pt>
              </c:numCache>
            </c:numRef>
          </c:val>
        </c:ser>
        <c:ser>
          <c:idx val="2"/>
          <c:order val="2"/>
          <c:tx>
            <c:strRef>
              <c:f>Hoja1!$E$22</c:f>
              <c:strCache>
                <c:ptCount val="1"/>
                <c:pt idx="0">
                  <c:v>Parcial</c:v>
                </c:pt>
              </c:strCache>
            </c:strRef>
          </c:tx>
          <c:cat>
            <c:strRef>
              <c:f>Hoja1!$F$19:$H$19</c:f>
              <c:strCache>
                <c:ptCount val="3"/>
                <c:pt idx="0">
                  <c:v>Homes</c:v>
                </c:pt>
                <c:pt idx="1">
                  <c:v>Dones</c:v>
                </c:pt>
                <c:pt idx="2">
                  <c:v>Total</c:v>
                </c:pt>
              </c:strCache>
            </c:strRef>
          </c:cat>
          <c:val>
            <c:numRef>
              <c:f>Hoja1!$F$22:$H$22</c:f>
              <c:numCache>
                <c:formatCode>#,##0.00</c:formatCode>
                <c:ptCount val="3"/>
                <c:pt idx="0">
                  <c:v>12208.49</c:v>
                </c:pt>
                <c:pt idx="1">
                  <c:v>11488.65</c:v>
                </c:pt>
                <c:pt idx="2">
                  <c:v>11719.54</c:v>
                </c:pt>
              </c:numCache>
            </c:numRef>
          </c:val>
        </c:ser>
        <c:shape val="cylinder"/>
        <c:axId val="83444864"/>
        <c:axId val="83446400"/>
        <c:axId val="66067072"/>
      </c:bar3DChart>
      <c:catAx>
        <c:axId val="83444864"/>
        <c:scaling>
          <c:orientation val="minMax"/>
        </c:scaling>
        <c:axPos val="b"/>
        <c:tickLblPos val="nextTo"/>
        <c:crossAx val="83446400"/>
        <c:crosses val="autoZero"/>
        <c:auto val="1"/>
        <c:lblAlgn val="ctr"/>
        <c:lblOffset val="100"/>
      </c:catAx>
      <c:valAx>
        <c:axId val="83446400"/>
        <c:scaling>
          <c:orientation val="minMax"/>
        </c:scaling>
        <c:axPos val="l"/>
        <c:majorGridlines/>
        <c:numFmt formatCode="#,##0.00" sourceLinked="1"/>
        <c:tickLblPos val="nextTo"/>
        <c:crossAx val="83444864"/>
        <c:crosses val="autoZero"/>
        <c:crossBetween val="between"/>
      </c:valAx>
      <c:serAx>
        <c:axId val="66067072"/>
        <c:scaling>
          <c:orientation val="minMax"/>
        </c:scaling>
        <c:axPos val="b"/>
        <c:tickLblPos val="nextTo"/>
        <c:crossAx val="83446400"/>
        <c:crosses val="autoZero"/>
      </c:serAx>
    </c:plotArea>
    <c:legend>
      <c:legendPos val="r"/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style val="48"/>
  <c:chart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Hoja1!$D$41</c:f>
              <c:strCache>
                <c:ptCount val="1"/>
                <c:pt idx="0">
                  <c:v>Total</c:v>
                </c:pt>
              </c:strCache>
            </c:strRef>
          </c:tx>
          <c:cat>
            <c:strRef>
              <c:f>Hoja1!$E$40:$G$40</c:f>
              <c:strCache>
                <c:ptCount val="3"/>
                <c:pt idx="0">
                  <c:v>Homes</c:v>
                </c:pt>
                <c:pt idx="1">
                  <c:v>Dones</c:v>
                </c:pt>
                <c:pt idx="2">
                  <c:v>Total</c:v>
                </c:pt>
              </c:strCache>
            </c:strRef>
          </c:cat>
          <c:val>
            <c:numRef>
              <c:f>Hoja1!$E$41:$G$41</c:f>
              <c:numCache>
                <c:formatCode>#,##0.00</c:formatCode>
                <c:ptCount val="3"/>
                <c:pt idx="0">
                  <c:v>25001.05</c:v>
                </c:pt>
                <c:pt idx="1">
                  <c:v>19502.02</c:v>
                </c:pt>
                <c:pt idx="2">
                  <c:v>22511.47</c:v>
                </c:pt>
              </c:numCache>
            </c:numRef>
          </c:val>
        </c:ser>
        <c:ser>
          <c:idx val="1"/>
          <c:order val="1"/>
          <c:tx>
            <c:strRef>
              <c:f>Hoja1!$D$42</c:f>
              <c:strCache>
                <c:ptCount val="1"/>
                <c:pt idx="0">
                  <c:v>Completa</c:v>
                </c:pt>
              </c:strCache>
            </c:strRef>
          </c:tx>
          <c:cat>
            <c:strRef>
              <c:f>Hoja1!$E$40:$G$40</c:f>
              <c:strCache>
                <c:ptCount val="3"/>
                <c:pt idx="0">
                  <c:v>Homes</c:v>
                </c:pt>
                <c:pt idx="1">
                  <c:v>Dones</c:v>
                </c:pt>
                <c:pt idx="2">
                  <c:v>Total</c:v>
                </c:pt>
              </c:strCache>
            </c:strRef>
          </c:cat>
          <c:val>
            <c:numRef>
              <c:f>Hoja1!$E$42:$G$42</c:f>
              <c:numCache>
                <c:formatCode>#,##0.00</c:formatCode>
                <c:ptCount val="3"/>
                <c:pt idx="0">
                  <c:v>26523.55</c:v>
                </c:pt>
                <c:pt idx="1">
                  <c:v>22898.25</c:v>
                </c:pt>
                <c:pt idx="2">
                  <c:v>25057.109999999997</c:v>
                </c:pt>
              </c:numCache>
            </c:numRef>
          </c:val>
        </c:ser>
        <c:ser>
          <c:idx val="2"/>
          <c:order val="2"/>
          <c:tx>
            <c:strRef>
              <c:f>Hoja1!$D$43</c:f>
              <c:strCache>
                <c:ptCount val="1"/>
                <c:pt idx="0">
                  <c:v>Parcial</c:v>
                </c:pt>
              </c:strCache>
            </c:strRef>
          </c:tx>
          <c:cat>
            <c:strRef>
              <c:f>Hoja1!$E$40:$G$40</c:f>
              <c:strCache>
                <c:ptCount val="3"/>
                <c:pt idx="0">
                  <c:v>Homes</c:v>
                </c:pt>
                <c:pt idx="1">
                  <c:v>Dones</c:v>
                </c:pt>
                <c:pt idx="2">
                  <c:v>Total</c:v>
                </c:pt>
              </c:strCache>
            </c:strRef>
          </c:cat>
          <c:val>
            <c:numRef>
              <c:f>Hoja1!$E$43:$G$43</c:f>
              <c:numCache>
                <c:formatCode>#,##0.00</c:formatCode>
                <c:ptCount val="3"/>
                <c:pt idx="0">
                  <c:v>11247.94</c:v>
                </c:pt>
                <c:pt idx="1">
                  <c:v>9872.39</c:v>
                </c:pt>
                <c:pt idx="2">
                  <c:v>10307.129999999997</c:v>
                </c:pt>
              </c:numCache>
            </c:numRef>
          </c:val>
        </c:ser>
        <c:shape val="box"/>
        <c:axId val="83596416"/>
        <c:axId val="83597952"/>
        <c:axId val="83317632"/>
      </c:bar3DChart>
      <c:catAx>
        <c:axId val="83596416"/>
        <c:scaling>
          <c:orientation val="minMax"/>
        </c:scaling>
        <c:axPos val="b"/>
        <c:tickLblPos val="nextTo"/>
        <c:crossAx val="83597952"/>
        <c:crosses val="autoZero"/>
        <c:auto val="1"/>
        <c:lblAlgn val="ctr"/>
        <c:lblOffset val="100"/>
      </c:catAx>
      <c:valAx>
        <c:axId val="83597952"/>
        <c:scaling>
          <c:orientation val="minMax"/>
        </c:scaling>
        <c:axPos val="l"/>
        <c:majorGridlines/>
        <c:numFmt formatCode="#,##0.00" sourceLinked="1"/>
        <c:tickLblPos val="nextTo"/>
        <c:crossAx val="83596416"/>
        <c:crosses val="autoZero"/>
        <c:crossBetween val="between"/>
      </c:valAx>
      <c:serAx>
        <c:axId val="83317632"/>
        <c:scaling>
          <c:orientation val="minMax"/>
        </c:scaling>
        <c:axPos val="b"/>
        <c:tickLblPos val="nextTo"/>
        <c:crossAx val="83597952"/>
        <c:crosses val="autoZero"/>
      </c:ser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1240</Words>
  <Characters>6826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</dc:creator>
  <cp:keywords/>
  <dc:description/>
  <cp:lastModifiedBy>Carol</cp:lastModifiedBy>
  <cp:revision>11</cp:revision>
  <dcterms:created xsi:type="dcterms:W3CDTF">2012-03-28T14:04:00Z</dcterms:created>
  <dcterms:modified xsi:type="dcterms:W3CDTF">2012-04-19T15:34:00Z</dcterms:modified>
</cp:coreProperties>
</file>